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pPr>
                    <w:pStyle w:val="49"/>
                    <w:framePr w:wrap="notBeside" w:vAnchor="page" w:hAnchor="page" w:x="1372" w:y="568"/>
                    <w:ind w:left="420" w:right="624"/>
                    <w:rPr>
                      <w:rFonts w:hint="eastAsia"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     </w:t>
                  </w:r>
                  <w:r>
                    <w:fldChar w:fldCharType="end"/>
                  </w:r>
                  <w:bookmarkEnd w:id="1"/>
                </w:p>
              </w:tc>
            </w:tr>
          </w:tbl>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2"/>
          </w:p>
        </w:tc>
      </w:tr>
    </w:tbl>
    <w:p>
      <w:pPr>
        <w:pStyle w:val="50"/>
        <w:framePr w:w="9639" w:h="624" w:hRule="exact" w:hSpace="181" w:vSpace="181" w:wrap="around" w:hAnchor="page" w:x="1305" w:y="2269"/>
        <w:rPr>
          <w:rFonts w:hint="eastAsia"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pPr>
        <w:pStyle w:val="195"/>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XXX</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pPr>
        <w:pStyle w:val="196"/>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J4NJltgAAAAMAQAADwAAAAAAAAABACAAAAA4AAAAZHJzL2Rvd25yZXYu&#10;eG1sUEsBAhQAFAAAAAgAh07iQLvgymblAQAArAMAAA4AAAAAAAAAAQAgAAAAPQEAAGRycy9lMm9E&#10;b2MueG1sUEsFBgAAAAAGAAYAWQEAAJQFA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hint="eastAsia" w:ascii="黑体" w:hAnsi="黑体" w:eastAsia="黑体"/>
          <w:b w:val="0"/>
          <w:bCs w:val="0"/>
          <w:w w:val="100"/>
        </w:rPr>
      </w:pPr>
    </w:p>
    <w:p>
      <w:pPr>
        <w:pStyle w:val="197"/>
        <w:framePr w:h="6974" w:hRule="exact" w:wrap="around" w:x="1419" w:anchorLock="1"/>
        <w:rPr>
          <w:rFonts w:hint="eastAsia"/>
        </w:rPr>
      </w:pPr>
      <w:bookmarkStart w:id="9" w:name="OLE_LINK32"/>
      <w:r>
        <w:fldChar w:fldCharType="begin">
          <w:ffData>
            <w:name w:val="CSTD_NAME"/>
            <w:enabled/>
            <w:calcOnExit w:val="0"/>
            <w:textInput>
              <w:default w:val="点击此处添加标准名称"/>
            </w:textInput>
          </w:ffData>
        </w:fldChar>
      </w:r>
      <w:bookmarkStart w:id="10" w:name="CSTD_NAME"/>
      <w:r>
        <w:instrText xml:space="preserve"> FORMTEXT </w:instrText>
      </w:r>
      <w:r>
        <w:fldChar w:fldCharType="separate"/>
      </w:r>
      <w:r>
        <w:t>专利代理机构能力无感评价规范</w:t>
      </w:r>
      <w:r>
        <w:fldChar w:fldCharType="end"/>
      </w:r>
      <w:bookmarkEnd w:id="10"/>
    </w:p>
    <w:bookmarkEnd w:id="9"/>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1" w:name="ESTD_NAME"/>
      <w:r>
        <w:rPr>
          <w:rFonts w:eastAsia="黑体"/>
          <w:szCs w:val="28"/>
        </w:rPr>
        <w:instrText xml:space="preserve"> FORMTEXT </w:instrText>
      </w:r>
      <w:r>
        <w:rPr>
          <w:rFonts w:eastAsia="黑体"/>
          <w:szCs w:val="28"/>
        </w:rPr>
        <w:fldChar w:fldCharType="separate"/>
      </w:r>
      <w:r>
        <w:rPr>
          <w:rFonts w:eastAsia="黑体"/>
          <w:szCs w:val="28"/>
        </w:rPr>
        <w:t xml:space="preserve">Code for </w:t>
      </w:r>
      <w:r>
        <w:rPr>
          <w:rFonts w:hint="eastAsia" w:eastAsia="黑体"/>
          <w:szCs w:val="28"/>
          <w:lang w:val="en-US" w:eastAsia="zh-CN"/>
        </w:rPr>
        <w:t>U</w:t>
      </w:r>
      <w:r>
        <w:rPr>
          <w:rFonts w:hint="eastAsia" w:eastAsia="黑体"/>
          <w:szCs w:val="28"/>
        </w:rPr>
        <w:t>nconsciously</w:t>
      </w:r>
      <w:r>
        <w:rPr>
          <w:rFonts w:eastAsia="黑体"/>
          <w:szCs w:val="28"/>
        </w:rPr>
        <w:t xml:space="preserve"> evaluation of patent agencies</w:t>
      </w:r>
      <w:r>
        <w:rPr>
          <w:rFonts w:eastAsia="黑体"/>
          <w:szCs w:val="28"/>
        </w:rPr>
        <w:fldChar w:fldCharType="end"/>
      </w:r>
      <w:bookmarkEnd w:id="11"/>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fldChar w:fldCharType="separate"/>
      </w:r>
      <w:r>
        <w:rPr>
          <w:sz w:val="24"/>
          <w:szCs w:val="28"/>
        </w:rPr>
        <w:fldChar w:fldCharType="end"/>
      </w:r>
      <w:bookmarkEnd w:id="12"/>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3"/>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fldChar w:fldCharType="separate"/>
      </w:r>
      <w:r>
        <w:rPr>
          <w:b/>
          <w:sz w:val="21"/>
          <w:szCs w:val="28"/>
        </w:rPr>
        <w:fldChar w:fldCharType="end"/>
      </w:r>
      <w:bookmarkEnd w:id="14"/>
    </w:p>
    <w:p>
      <w:pPr>
        <w:pStyle w:val="193"/>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0"/>
      <w:r>
        <w:rPr>
          <w:rFonts w:hint="eastAsia"/>
        </w:rPr>
        <w:t>实施</w:t>
      </w:r>
    </w:p>
    <w:p>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21"/>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qzMc+9cAAAAOAQAADwAAAAAAAAABACAAAAA4AAAAZHJzL2Rvd25yZXYueG1s&#10;UEsBAhQAFAAAAAgAh07iQFkuJZjjAQAAqgMAAA4AAAAAAAAAAQAgAAAAPAEAAGRycy9lMm9Eb2Mu&#10;eG1sUEsFBgAAAAAGAAYAWQEAAJEFAAAAAA==&#10;">
                <v:fill on="f" focussize="0,0"/>
                <v:stroke color="#000000" joinstyle="round"/>
                <v:imagedata o:title=""/>
                <o:lock v:ext="edit" aspectratio="f"/>
                <w10:anchorlock/>
              </v:line>
            </w:pict>
          </mc:Fallback>
        </mc:AlternateContent>
      </w:r>
    </w:p>
    <w:p>
      <w:pPr>
        <w:pStyle w:val="91"/>
        <w:spacing w:after="360"/>
        <w:rPr>
          <w:rFonts w:hint="eastAsia"/>
        </w:rPr>
      </w:pPr>
      <w:bookmarkStart w:id="22" w:name="BookMark1"/>
      <w:r>
        <w:rPr>
          <w:rFonts w:hint="eastAsia"/>
          <w:spacing w:val="320"/>
        </w:rPr>
        <w:t>目</w:t>
      </w:r>
      <w:r>
        <w:rPr>
          <w:rFonts w:hint="eastAsia"/>
        </w:rPr>
        <w:t>次</w:t>
      </w:r>
    </w:p>
    <w:p>
      <w:pPr>
        <w:pStyle w:val="19"/>
        <w:tabs>
          <w:tab w:val="right" w:leader="dot" w:pos="9354"/>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_Toc548173699 </w:instrText>
      </w:r>
      <w:r>
        <w:fldChar w:fldCharType="separate"/>
      </w:r>
      <w:r>
        <w:rPr>
          <w:rFonts w:hint="eastAsia"/>
          <w:spacing w:val="320"/>
        </w:rPr>
        <w:t>前</w:t>
      </w:r>
      <w:r>
        <w:rPr>
          <w:rFonts w:hint="eastAsia"/>
        </w:rPr>
        <w:t>言</w:t>
      </w:r>
      <w:r>
        <w:tab/>
      </w:r>
      <w:r>
        <w:fldChar w:fldCharType="begin"/>
      </w:r>
      <w:r>
        <w:instrText xml:space="preserve"> PAGEREF _Toc548173699 \h </w:instrText>
      </w:r>
      <w:r>
        <w:fldChar w:fldCharType="separate"/>
      </w:r>
      <w:r>
        <w:t>II</w:t>
      </w:r>
      <w:r>
        <w:fldChar w:fldCharType="end"/>
      </w:r>
      <w:r>
        <w:fldChar w:fldCharType="end"/>
      </w:r>
    </w:p>
    <w:p>
      <w:pPr>
        <w:pStyle w:val="19"/>
        <w:tabs>
          <w:tab w:val="right" w:leader="dot" w:pos="9354"/>
        </w:tabs>
      </w:pPr>
      <w:r>
        <w:fldChar w:fldCharType="begin"/>
      </w:r>
      <w:r>
        <w:instrText xml:space="preserve"> HYPERLINK \l _Toc88744662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_Toc88744662 \h </w:instrText>
      </w:r>
      <w:r>
        <w:fldChar w:fldCharType="separate"/>
      </w:r>
      <w:r>
        <w:t>3</w:t>
      </w:r>
      <w:r>
        <w:fldChar w:fldCharType="end"/>
      </w:r>
      <w:r>
        <w:fldChar w:fldCharType="end"/>
      </w:r>
    </w:p>
    <w:p>
      <w:pPr>
        <w:pStyle w:val="19"/>
        <w:tabs>
          <w:tab w:val="right" w:leader="dot" w:pos="9354"/>
        </w:tabs>
      </w:pPr>
      <w:r>
        <w:fldChar w:fldCharType="begin"/>
      </w:r>
      <w:r>
        <w:instrText xml:space="preserve"> HYPERLINK \l _Toc1905024845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_Toc1905024845 \h </w:instrText>
      </w:r>
      <w:r>
        <w:fldChar w:fldCharType="separate"/>
      </w:r>
      <w:r>
        <w:t>3</w:t>
      </w:r>
      <w:r>
        <w:fldChar w:fldCharType="end"/>
      </w:r>
      <w:r>
        <w:fldChar w:fldCharType="end"/>
      </w:r>
    </w:p>
    <w:p>
      <w:pPr>
        <w:pStyle w:val="19"/>
        <w:tabs>
          <w:tab w:val="right" w:leader="dot" w:pos="9354"/>
        </w:tabs>
      </w:pPr>
      <w:r>
        <w:fldChar w:fldCharType="begin"/>
      </w:r>
      <w:r>
        <w:instrText xml:space="preserve"> HYPERLINK \l _Toc1070706230 </w:instrText>
      </w:r>
      <w:r>
        <w:fldChar w:fldCharType="separate"/>
      </w:r>
      <w:r>
        <w:rPr>
          <w:rFonts w:hint="eastAsia" w:ascii="黑体" w:eastAsia="黑体"/>
          <w:i w:val="0"/>
        </w:rPr>
        <w:t xml:space="preserve">3 </w:t>
      </w:r>
      <w:r>
        <w:rPr>
          <w:rFonts w:hint="eastAsia"/>
          <w:szCs w:val="21"/>
        </w:rPr>
        <w:t>术语和定义</w:t>
      </w:r>
      <w:r>
        <w:tab/>
      </w:r>
      <w:r>
        <w:fldChar w:fldCharType="begin"/>
      </w:r>
      <w:r>
        <w:instrText xml:space="preserve"> PAGEREF _Toc1070706230 \h </w:instrText>
      </w:r>
      <w:r>
        <w:fldChar w:fldCharType="separate"/>
      </w:r>
      <w:r>
        <w:t>3</w:t>
      </w:r>
      <w:r>
        <w:fldChar w:fldCharType="end"/>
      </w:r>
      <w:r>
        <w:fldChar w:fldCharType="end"/>
      </w:r>
    </w:p>
    <w:p>
      <w:pPr>
        <w:pStyle w:val="19"/>
        <w:tabs>
          <w:tab w:val="right" w:leader="dot" w:pos="9354"/>
        </w:tabs>
      </w:pPr>
      <w:r>
        <w:fldChar w:fldCharType="begin"/>
      </w:r>
      <w:r>
        <w:instrText xml:space="preserve"> HYPERLINK \l _Toc1945651550 </w:instrText>
      </w:r>
      <w:r>
        <w:fldChar w:fldCharType="separate"/>
      </w:r>
      <w:r>
        <w:rPr>
          <w:rFonts w:hint="eastAsia" w:ascii="黑体" w:eastAsia="黑体"/>
          <w:i w:val="0"/>
        </w:rPr>
        <w:t xml:space="preserve">4 </w:t>
      </w:r>
      <w:r>
        <w:t>评价原则</w:t>
      </w:r>
      <w:r>
        <w:tab/>
      </w:r>
      <w:r>
        <w:fldChar w:fldCharType="begin"/>
      </w:r>
      <w:r>
        <w:instrText xml:space="preserve"> PAGEREF _Toc1945651550 \h </w:instrText>
      </w:r>
      <w:r>
        <w:fldChar w:fldCharType="separate"/>
      </w:r>
      <w:r>
        <w:t>3</w:t>
      </w:r>
      <w:r>
        <w:fldChar w:fldCharType="end"/>
      </w:r>
      <w:r>
        <w:fldChar w:fldCharType="end"/>
      </w:r>
    </w:p>
    <w:p>
      <w:pPr>
        <w:pStyle w:val="24"/>
        <w:tabs>
          <w:tab w:val="right" w:leader="dot" w:pos="9354"/>
          <w:tab w:val="clear" w:pos="9344"/>
        </w:tabs>
      </w:pPr>
      <w:r>
        <w:fldChar w:fldCharType="begin"/>
      </w:r>
      <w:r>
        <w:instrText xml:space="preserve"> HYPERLINK \l _Toc1110163300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4.1 </w:t>
      </w:r>
      <w:r>
        <w:t>客观性</w:t>
      </w:r>
      <w:r>
        <w:tab/>
      </w:r>
      <w:r>
        <w:fldChar w:fldCharType="begin"/>
      </w:r>
      <w:r>
        <w:instrText xml:space="preserve"> PAGEREF _Toc1110163300 \h </w:instrText>
      </w:r>
      <w:r>
        <w:fldChar w:fldCharType="separate"/>
      </w:r>
      <w:r>
        <w:t>3</w:t>
      </w:r>
      <w:r>
        <w:fldChar w:fldCharType="end"/>
      </w:r>
      <w:r>
        <w:fldChar w:fldCharType="end"/>
      </w:r>
    </w:p>
    <w:p>
      <w:pPr>
        <w:pStyle w:val="24"/>
        <w:tabs>
          <w:tab w:val="right" w:leader="dot" w:pos="9354"/>
          <w:tab w:val="clear" w:pos="9344"/>
        </w:tabs>
      </w:pPr>
      <w:r>
        <w:fldChar w:fldCharType="begin"/>
      </w:r>
      <w:r>
        <w:instrText xml:space="preserve"> HYPERLINK \l _Toc680423638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4.2 </w:t>
      </w:r>
      <w:r>
        <w:t>适用性</w:t>
      </w:r>
      <w:r>
        <w:tab/>
      </w:r>
      <w:r>
        <w:fldChar w:fldCharType="begin"/>
      </w:r>
      <w:r>
        <w:instrText xml:space="preserve"> PAGEREF _Toc680423638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_Toc874901042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4.3 </w:t>
      </w:r>
      <w:r>
        <w:t>安全性</w:t>
      </w:r>
      <w:r>
        <w:tab/>
      </w:r>
      <w:r>
        <w:fldChar w:fldCharType="begin"/>
      </w:r>
      <w:r>
        <w:instrText xml:space="preserve"> PAGEREF _Toc874901042 \h </w:instrText>
      </w:r>
      <w:r>
        <w:fldChar w:fldCharType="separate"/>
      </w:r>
      <w:r>
        <w:t>4</w:t>
      </w:r>
      <w:r>
        <w:fldChar w:fldCharType="end"/>
      </w:r>
      <w:r>
        <w:fldChar w:fldCharType="end"/>
      </w:r>
    </w:p>
    <w:p>
      <w:pPr>
        <w:pStyle w:val="19"/>
        <w:tabs>
          <w:tab w:val="right" w:leader="dot" w:pos="9354"/>
        </w:tabs>
      </w:pPr>
      <w:r>
        <w:fldChar w:fldCharType="begin"/>
      </w:r>
      <w:r>
        <w:instrText xml:space="preserve"> HYPERLINK \l _Toc1052534782 </w:instrText>
      </w:r>
      <w:r>
        <w:fldChar w:fldCharType="separate"/>
      </w:r>
      <w:r>
        <w:rPr>
          <w:rFonts w:hint="eastAsia" w:ascii="黑体" w:eastAsia="黑体"/>
          <w:i w:val="0"/>
        </w:rPr>
        <w:t xml:space="preserve">5 </w:t>
      </w:r>
      <w:r>
        <w:t>评价对象</w:t>
      </w:r>
      <w:r>
        <w:tab/>
      </w:r>
      <w:r>
        <w:fldChar w:fldCharType="begin"/>
      </w:r>
      <w:r>
        <w:instrText xml:space="preserve"> PAGEREF _Toc1052534782 \h </w:instrText>
      </w:r>
      <w:r>
        <w:fldChar w:fldCharType="separate"/>
      </w:r>
      <w:r>
        <w:t>4</w:t>
      </w:r>
      <w:r>
        <w:fldChar w:fldCharType="end"/>
      </w:r>
      <w:r>
        <w:fldChar w:fldCharType="end"/>
      </w:r>
    </w:p>
    <w:p>
      <w:pPr>
        <w:pStyle w:val="19"/>
        <w:tabs>
          <w:tab w:val="right" w:leader="dot" w:pos="9354"/>
        </w:tabs>
      </w:pPr>
      <w:r>
        <w:fldChar w:fldCharType="begin"/>
      </w:r>
      <w:r>
        <w:instrText xml:space="preserve"> HYPERLINK \l _Toc1525081237 </w:instrText>
      </w:r>
      <w:r>
        <w:fldChar w:fldCharType="separate"/>
      </w:r>
      <w:r>
        <w:rPr>
          <w:rFonts w:hint="eastAsia" w:ascii="黑体" w:eastAsia="黑体"/>
          <w:i w:val="0"/>
        </w:rPr>
        <w:t xml:space="preserve">6 </w:t>
      </w:r>
      <w:r>
        <w:t>评价组织</w:t>
      </w:r>
      <w:r>
        <w:tab/>
      </w:r>
      <w:r>
        <w:fldChar w:fldCharType="begin"/>
      </w:r>
      <w:r>
        <w:instrText xml:space="preserve"> PAGEREF _Toc1525081237 \h </w:instrText>
      </w:r>
      <w:r>
        <w:fldChar w:fldCharType="separate"/>
      </w:r>
      <w:r>
        <w:t>4</w:t>
      </w:r>
      <w:r>
        <w:fldChar w:fldCharType="end"/>
      </w:r>
      <w:r>
        <w:fldChar w:fldCharType="end"/>
      </w:r>
    </w:p>
    <w:p>
      <w:pPr>
        <w:pStyle w:val="19"/>
        <w:tabs>
          <w:tab w:val="right" w:leader="dot" w:pos="9354"/>
        </w:tabs>
      </w:pPr>
      <w:r>
        <w:fldChar w:fldCharType="begin"/>
      </w:r>
      <w:r>
        <w:instrText xml:space="preserve"> HYPERLINK \l _Toc1480793242 </w:instrText>
      </w:r>
      <w:r>
        <w:fldChar w:fldCharType="separate"/>
      </w:r>
      <w:r>
        <w:rPr>
          <w:rFonts w:hint="eastAsia" w:ascii="黑体" w:eastAsia="黑体"/>
          <w:i w:val="0"/>
        </w:rPr>
        <w:t xml:space="preserve">7 </w:t>
      </w:r>
      <w:r>
        <w:t>评价程序</w:t>
      </w:r>
      <w:r>
        <w:tab/>
      </w:r>
      <w:r>
        <w:fldChar w:fldCharType="begin"/>
      </w:r>
      <w:r>
        <w:instrText xml:space="preserve"> PAGEREF _Toc1480793242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_Toc1118437080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7.1 </w:t>
      </w:r>
      <w:r>
        <w:t>评价周期</w:t>
      </w:r>
      <w:r>
        <w:tab/>
      </w:r>
      <w:r>
        <w:fldChar w:fldCharType="begin"/>
      </w:r>
      <w:r>
        <w:instrText xml:space="preserve"> PAGEREF _Toc1118437080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_Toc1527232672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7.2 </w:t>
      </w:r>
      <w:r>
        <w:t>评价方法</w:t>
      </w:r>
      <w:r>
        <w:tab/>
      </w:r>
      <w:r>
        <w:fldChar w:fldCharType="begin"/>
      </w:r>
      <w:r>
        <w:instrText xml:space="preserve"> PAGEREF _Toc1527232672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_Toc769545951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 </w:t>
      </w:r>
      <w:r>
        <w:t>结果应用</w:t>
      </w:r>
      <w:r>
        <w:tab/>
      </w:r>
      <w:r>
        <w:fldChar w:fldCharType="begin"/>
      </w:r>
      <w:r>
        <w:instrText xml:space="preserve"> PAGEREF _Toc769545951 \h </w:instrText>
      </w:r>
      <w:r>
        <w:fldChar w:fldCharType="separate"/>
      </w:r>
      <w:r>
        <w:t>5</w:t>
      </w:r>
      <w:r>
        <w:fldChar w:fldCharType="end"/>
      </w:r>
      <w:r>
        <w:fldChar w:fldCharType="end"/>
      </w:r>
    </w:p>
    <w:p>
      <w:pPr>
        <w:pStyle w:val="24"/>
        <w:tabs>
          <w:tab w:val="right" w:leader="dot" w:pos="9354"/>
          <w:tab w:val="clear" w:pos="9344"/>
        </w:tabs>
      </w:pPr>
      <w:r>
        <w:fldChar w:fldCharType="begin"/>
      </w:r>
      <w:r>
        <w:instrText xml:space="preserve"> HYPERLINK \l _Toc205649086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7.4 </w:t>
      </w:r>
      <w:r>
        <w:t>异议</w:t>
      </w:r>
      <w:r>
        <w:tab/>
      </w:r>
      <w:r>
        <w:fldChar w:fldCharType="begin"/>
      </w:r>
      <w:r>
        <w:instrText xml:space="preserve"> PAGEREF _Toc205649086 \h </w:instrText>
      </w:r>
      <w:r>
        <w:fldChar w:fldCharType="separate"/>
      </w:r>
      <w:r>
        <w:t>5</w:t>
      </w:r>
      <w:r>
        <w:fldChar w:fldCharType="end"/>
      </w:r>
      <w:r>
        <w:fldChar w:fldCharType="end"/>
      </w:r>
    </w:p>
    <w:p>
      <w:pPr>
        <w:pStyle w:val="19"/>
        <w:tabs>
          <w:tab w:val="right" w:leader="dot" w:pos="9354"/>
        </w:tabs>
      </w:pPr>
      <w:r>
        <w:fldChar w:fldCharType="begin"/>
      </w:r>
      <w:r>
        <w:instrText xml:space="preserve"> HYPERLINK \l _Toc39600446 </w:instrText>
      </w:r>
      <w:r>
        <w:fldChar w:fldCharType="separate"/>
      </w:r>
      <w:r>
        <w:rPr>
          <w:rFonts w:hint="eastAsia" w:ascii="黑体" w:eastAsia="黑体"/>
          <w:i w:val="0"/>
        </w:rPr>
        <w:t xml:space="preserve">8 </w:t>
      </w:r>
      <w:r>
        <w:t>标志使用</w:t>
      </w:r>
      <w:r>
        <w:tab/>
      </w:r>
      <w:r>
        <w:fldChar w:fldCharType="begin"/>
      </w:r>
      <w:r>
        <w:instrText xml:space="preserve"> PAGEREF _Toc39600446 \h </w:instrText>
      </w:r>
      <w:r>
        <w:fldChar w:fldCharType="separate"/>
      </w:r>
      <w:r>
        <w:t>5</w:t>
      </w:r>
      <w:r>
        <w:fldChar w:fldCharType="end"/>
      </w:r>
      <w:r>
        <w:fldChar w:fldCharType="end"/>
      </w:r>
    </w:p>
    <w:p>
      <w:pPr>
        <w:pStyle w:val="24"/>
        <w:tabs>
          <w:tab w:val="right" w:leader="dot" w:pos="9354"/>
          <w:tab w:val="clear" w:pos="9344"/>
        </w:tabs>
      </w:pPr>
      <w:r>
        <w:fldChar w:fldCharType="begin"/>
      </w:r>
      <w:r>
        <w:instrText xml:space="preserve"> HYPERLINK \l _Toc1475232982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8.1 </w:t>
      </w:r>
      <w:r>
        <w:rPr>
          <w:rFonts w:hint="eastAsia"/>
          <w:lang w:eastAsia="zh-CN"/>
        </w:rPr>
        <w:t>使用途径</w:t>
      </w:r>
      <w:r>
        <w:tab/>
      </w:r>
      <w:r>
        <w:fldChar w:fldCharType="begin"/>
      </w:r>
      <w:r>
        <w:instrText xml:space="preserve"> PAGEREF _Toc1475232982 \h </w:instrText>
      </w:r>
      <w:r>
        <w:fldChar w:fldCharType="separate"/>
      </w:r>
      <w:r>
        <w:t>5</w:t>
      </w:r>
      <w:r>
        <w:fldChar w:fldCharType="end"/>
      </w:r>
      <w:r>
        <w:fldChar w:fldCharType="end"/>
      </w:r>
    </w:p>
    <w:p>
      <w:pPr>
        <w:pStyle w:val="24"/>
        <w:tabs>
          <w:tab w:val="right" w:leader="dot" w:pos="9354"/>
          <w:tab w:val="clear" w:pos="9344"/>
        </w:tabs>
      </w:pPr>
      <w:r>
        <w:fldChar w:fldCharType="begin"/>
      </w:r>
      <w:r>
        <w:instrText xml:space="preserve"> HYPERLINK \l _Toc823564701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8.2 </w:t>
      </w:r>
      <w:r>
        <w:rPr>
          <w:rFonts w:hint="eastAsia"/>
          <w:lang w:eastAsia="zh-CN"/>
        </w:rPr>
        <w:t>取消评级</w:t>
      </w:r>
      <w:r>
        <w:tab/>
      </w:r>
      <w:r>
        <w:fldChar w:fldCharType="begin"/>
      </w:r>
      <w:r>
        <w:instrText xml:space="preserve"> PAGEREF _Toc823564701 \h </w:instrText>
      </w:r>
      <w:r>
        <w:fldChar w:fldCharType="separate"/>
      </w:r>
      <w:r>
        <w:t>5</w:t>
      </w:r>
      <w:r>
        <w:fldChar w:fldCharType="end"/>
      </w:r>
      <w:r>
        <w:fldChar w:fldCharType="end"/>
      </w:r>
    </w:p>
    <w:p>
      <w:pPr>
        <w:pStyle w:val="19"/>
        <w:tabs>
          <w:tab w:val="right" w:leader="dot" w:pos="9354"/>
        </w:tabs>
      </w:pPr>
      <w:r>
        <w:fldChar w:fldCharType="begin"/>
      </w:r>
      <w:r>
        <w:instrText xml:space="preserve"> HYPERLINK \l _Toc792515782 </w:instrText>
      </w:r>
      <w:r>
        <w:fldChar w:fldCharType="separate"/>
      </w:r>
      <w:r>
        <w:rPr>
          <w:rFonts w:hint="eastAsia"/>
          <w:spacing w:val="100"/>
        </w:rPr>
        <w:t xml:space="preserve">附录A </w:t>
      </w:r>
      <w:r>
        <w:t xml:space="preserve"> </w:t>
      </w:r>
      <w:r>
        <w:rPr>
          <w:rFonts w:hint="eastAsia"/>
        </w:rPr>
        <w:t>（规范性）</w:t>
      </w:r>
      <w:r>
        <w:t xml:space="preserve"> </w:t>
      </w:r>
      <w:r>
        <w:rPr>
          <w:rFonts w:hint="eastAsia"/>
        </w:rPr>
        <w:t>专利代理机构能力无感评价分值计算方法表</w:t>
      </w:r>
      <w:r>
        <w:tab/>
      </w:r>
      <w:r>
        <w:fldChar w:fldCharType="begin"/>
      </w:r>
      <w:r>
        <w:instrText xml:space="preserve"> PAGEREF _Toc792515782 \h </w:instrText>
      </w:r>
      <w:r>
        <w:fldChar w:fldCharType="separate"/>
      </w:r>
      <w:r>
        <w:t>7</w:t>
      </w:r>
      <w:r>
        <w:fldChar w:fldCharType="end"/>
      </w:r>
      <w:r>
        <w:fldChar w:fldCharType="end"/>
      </w:r>
    </w:p>
    <w:p>
      <w:pPr>
        <w:pStyle w:val="19"/>
        <w:tabs>
          <w:tab w:val="right" w:leader="dot" w:pos="9354"/>
        </w:tabs>
      </w:pPr>
      <w:r>
        <w:fldChar w:fldCharType="begin"/>
      </w:r>
      <w:r>
        <w:instrText xml:space="preserve"> HYPERLINK \l _Toc1053841461 </w:instrText>
      </w:r>
      <w:r>
        <w:fldChar w:fldCharType="separate"/>
      </w:r>
      <w:r>
        <w:rPr>
          <w:rFonts w:hint="eastAsia"/>
          <w:spacing w:val="100"/>
          <w:lang w:val="en-US" w:eastAsia="zh-CN"/>
        </w:rPr>
        <w:t>附录</w:t>
      </w:r>
      <w:r>
        <w:rPr>
          <w:rFonts w:hint="eastAsia" w:eastAsia="黑体"/>
          <w:spacing w:val="100"/>
          <w:lang w:val="en-US" w:eastAsia="zh-CN"/>
        </w:rPr>
        <w:t xml:space="preserve">B </w:t>
      </w:r>
      <w:r>
        <w:t xml:space="preserve"> </w:t>
      </w:r>
      <w:r>
        <w:rPr>
          <w:rFonts w:hint="eastAsia"/>
        </w:rPr>
        <w:t>（规范性）</w:t>
      </w:r>
      <w:r>
        <w:t xml:space="preserve"> </w:t>
      </w:r>
      <w:r>
        <w:rPr>
          <w:rFonts w:hint="eastAsia"/>
        </w:rPr>
        <w:t>专利代理机构能力无感评价</w:t>
      </w:r>
      <w:r>
        <w:rPr>
          <w:rFonts w:hint="eastAsia"/>
          <w:lang w:val="en-US" w:eastAsia="zh-CN"/>
        </w:rPr>
        <w:t>内容及具体分值</w:t>
      </w:r>
      <w:r>
        <w:tab/>
      </w:r>
      <w:r>
        <w:fldChar w:fldCharType="begin"/>
      </w:r>
      <w:r>
        <w:instrText xml:space="preserve"> PAGEREF _Toc1053841461 \h </w:instrText>
      </w:r>
      <w:r>
        <w:fldChar w:fldCharType="separate"/>
      </w:r>
      <w:r>
        <w:t>9</w:t>
      </w:r>
      <w:r>
        <w:fldChar w:fldCharType="end"/>
      </w:r>
      <w:r>
        <w:fldChar w:fldCharType="end"/>
      </w:r>
    </w:p>
    <w:p>
      <w:pPr>
        <w:pStyle w:val="19"/>
        <w:tabs>
          <w:tab w:val="right" w:leader="dot" w:pos="9354"/>
        </w:tabs>
      </w:pPr>
      <w:r>
        <w:fldChar w:fldCharType="begin"/>
      </w:r>
      <w:r>
        <w:instrText xml:space="preserve"> HYPERLINK \l _Toc127090305 </w:instrText>
      </w:r>
      <w:r>
        <w:fldChar w:fldCharType="separate"/>
      </w:r>
      <w:r>
        <w:rPr>
          <w:rFonts w:hint="eastAsia"/>
          <w:spacing w:val="100"/>
        </w:rPr>
        <w:t xml:space="preserve">附录C </w:t>
      </w:r>
      <w:r>
        <w:t xml:space="preserve"> </w:t>
      </w:r>
      <w:r>
        <w:rPr>
          <w:rFonts w:hint="eastAsia"/>
        </w:rPr>
        <w:t>（规范性）</w:t>
      </w:r>
      <w:r>
        <w:t xml:space="preserve"> 专利代理机构等级评价指标积分表</w:t>
      </w:r>
      <w:r>
        <w:tab/>
      </w:r>
      <w:r>
        <w:fldChar w:fldCharType="begin"/>
      </w:r>
      <w:r>
        <w:instrText xml:space="preserve"> PAGEREF _Toc127090305 \h </w:instrText>
      </w:r>
      <w:r>
        <w:fldChar w:fldCharType="separate"/>
      </w:r>
      <w:r>
        <w:t>11</w:t>
      </w:r>
      <w:r>
        <w:fldChar w:fldCharType="end"/>
      </w:r>
      <w:r>
        <w:fldChar w:fldCharType="end"/>
      </w:r>
    </w:p>
    <w:p>
      <w:pPr>
        <w:pStyle w:val="91"/>
        <w:spacing w:after="360"/>
        <w:sectPr>
          <w:headerReference r:id="rId11" w:type="default"/>
          <w:footerReference r:id="rId13" w:type="default"/>
          <w:headerReference r:id="rId12" w:type="even"/>
          <w:pgSz w:w="11906" w:h="16838"/>
          <w:pgMar w:top="1928" w:right="1134" w:bottom="1134" w:left="1134" w:header="1418" w:footer="1134" w:gutter="284"/>
          <w:pgBorders>
            <w:top w:val="none" w:sz="0" w:space="0"/>
            <w:left w:val="none" w:sz="0" w:space="0"/>
            <w:bottom w:val="none" w:sz="0" w:space="0"/>
            <w:right w:val="none" w:sz="0" w:space="0"/>
          </w:pgBorders>
          <w:pgNumType w:fmt="upperRoman" w:start="1"/>
          <w:cols w:space="425" w:num="1"/>
          <w:formProt w:val="0"/>
          <w:docGrid w:linePitch="312" w:charSpace="0"/>
        </w:sectPr>
      </w:pPr>
      <w:r>
        <w:fldChar w:fldCharType="end"/>
      </w:r>
    </w:p>
    <w:bookmarkEnd w:id="22"/>
    <w:p>
      <w:pPr>
        <w:pStyle w:val="89"/>
        <w:spacing w:before="900" w:after="360"/>
      </w:pPr>
      <w:bookmarkStart w:id="23" w:name="_Toc548173699"/>
      <w:bookmarkStart w:id="24" w:name="BookMark2"/>
      <w:r>
        <w:rPr>
          <w:rFonts w:hint="eastAsia"/>
          <w:spacing w:val="320"/>
        </w:rPr>
        <w:t>前</w:t>
      </w:r>
      <w:r>
        <w:rPr>
          <w:rFonts w:hint="eastAsia"/>
        </w:rPr>
        <w:t>言</w:t>
      </w:r>
      <w:bookmarkEnd w:id="23"/>
    </w:p>
    <w:p>
      <w:pPr>
        <w:pStyle w:val="56"/>
        <w:ind w:firstLine="420"/>
        <w:rPr>
          <w:rFonts w:hint="eastAsia"/>
        </w:rPr>
      </w:pPr>
      <w:r>
        <w:rPr>
          <w:rFonts w:hint="eastAsia"/>
        </w:rPr>
        <w:t>本文件按照GB/T 1.1—2020《标准化工作导则  第1部分：标准化文件的结构和起草规则》的规定起草。</w:t>
      </w:r>
    </w:p>
    <w:p>
      <w:pPr>
        <w:pStyle w:val="56"/>
        <w:ind w:firstLine="420"/>
      </w:pPr>
      <w:r>
        <w:rPr>
          <w:rFonts w:hint="eastAsia"/>
        </w:rPr>
        <w:t>本文件由</w:t>
      </w:r>
      <w:r>
        <w:t>浙江省专利代理人协会</w:t>
      </w:r>
      <w:r>
        <w:rPr>
          <w:rFonts w:hint="eastAsia"/>
        </w:rPr>
        <w:t>提出</w:t>
      </w:r>
      <w:r>
        <w:rPr>
          <w:rFonts w:hint="eastAsia"/>
          <w:lang w:eastAsia="zh-CN"/>
        </w:rPr>
        <w:t>并归口</w:t>
      </w:r>
      <w:r>
        <w:rPr>
          <w:rFonts w:hint="eastAsia"/>
        </w:rPr>
        <w:t>。</w:t>
      </w:r>
    </w:p>
    <w:p>
      <w:pPr>
        <w:pStyle w:val="56"/>
        <w:ind w:firstLine="420"/>
      </w:pPr>
      <w:r>
        <w:rPr>
          <w:rFonts w:hint="eastAsia"/>
        </w:rPr>
        <w:t>本文件起草单位：</w:t>
      </w:r>
      <w:r>
        <w:rPr>
          <w:highlight w:val="none"/>
        </w:rPr>
        <w:t>浙江省知识产权保护中心、浙江省专利代理人协会</w:t>
      </w:r>
      <w:r>
        <w:rPr>
          <w:rFonts w:hint="eastAsia"/>
          <w:highlight w:val="none"/>
          <w:lang w:eastAsia="zh-CN"/>
        </w:rPr>
        <w:t>、</w:t>
      </w:r>
      <w:r>
        <w:rPr>
          <w:rFonts w:hint="eastAsia"/>
          <w:highlight w:val="none"/>
          <w:lang w:val="en-US" w:eastAsia="zh-CN"/>
        </w:rPr>
        <w:t>杭州市知识产权保护中心、宁波市知识产权保护中心、</w:t>
      </w:r>
      <w:r>
        <w:rPr>
          <w:rFonts w:hint="eastAsia" w:ascii="宋体" w:hAnsi="Times New Roman" w:eastAsia="宋体" w:cs="Times New Roman"/>
          <w:highlight w:val="none"/>
          <w:lang w:val="en-US" w:eastAsia="zh-CN"/>
        </w:rPr>
        <w:t>杭州华进联浙知识产权代理有限公司、浙江中桓凯通专利代理有限公司、浙江大学</w:t>
      </w:r>
      <w:r>
        <w:rPr>
          <w:rFonts w:hint="eastAsia" w:cs="Times New Roman"/>
          <w:highlight w:val="none"/>
          <w:lang w:val="en-US" w:eastAsia="zh-CN"/>
        </w:rPr>
        <w:t>、国网浙江省电力有限公司</w:t>
      </w:r>
      <w:r>
        <w:t>。</w:t>
      </w:r>
    </w:p>
    <w:p>
      <w:pPr>
        <w:pStyle w:val="56"/>
        <w:ind w:firstLine="420"/>
        <w:rPr>
          <w:rFonts w:hint="default" w:eastAsia="宋体"/>
          <w:lang w:val="en-US" w:eastAsia="zh-CN"/>
        </w:rPr>
      </w:pPr>
      <w:r>
        <w:rPr>
          <w:rFonts w:hint="eastAsia"/>
        </w:rPr>
        <w:t>本文件主要起草人：</w:t>
      </w:r>
      <w:r>
        <w:rPr>
          <w:rFonts w:hint="eastAsia"/>
          <w:highlight w:val="none"/>
          <w:lang w:val="en-US" w:eastAsia="zh-CN"/>
        </w:rPr>
        <w:t>韩志斌、林敏、何斯征、张海潮、蒙惠文、雍海燕、周翌、钱龙、何贝、杜强、亢雅瑞、许多、曾陈吉丹、贺才杰、牛伟杰、张建新</w:t>
      </w:r>
      <w:r>
        <w:rPr>
          <w:rFonts w:hint="eastAsia"/>
          <w:lang w:val="en-US" w:eastAsia="zh-CN"/>
        </w:rPr>
        <w:t>。</w:t>
      </w:r>
    </w:p>
    <w:p>
      <w:pPr>
        <w:pStyle w:val="56"/>
        <w:ind w:firstLine="420"/>
      </w:pPr>
    </w:p>
    <w:p>
      <w:pPr>
        <w:pStyle w:val="56"/>
        <w:ind w:firstLine="420"/>
        <w:sectPr>
          <w:pgSz w:w="11906" w:h="16838"/>
          <w:pgMar w:top="1928" w:right="1134" w:bottom="1134" w:left="1134" w:header="1418" w:footer="1134" w:gutter="284"/>
          <w:pgBorders>
            <w:top w:val="none" w:sz="0" w:space="0"/>
            <w:left w:val="none" w:sz="0" w:space="0"/>
            <w:bottom w:val="none" w:sz="0" w:space="0"/>
            <w:right w:val="none" w:sz="0" w:space="0"/>
          </w:pgBorders>
          <w:pgNumType w:fmt="upperRoman"/>
          <w:cols w:space="425" w:num="1"/>
          <w:formProt w:val="0"/>
          <w:docGrid w:linePitch="312" w:charSpace="0"/>
        </w:sectPr>
      </w:pPr>
    </w:p>
    <w:bookmarkEnd w:id="24"/>
    <w:p>
      <w:pPr>
        <w:spacing w:line="20" w:lineRule="exact"/>
        <w:jc w:val="center"/>
        <w:rPr>
          <w:rFonts w:hint="eastAsia" w:ascii="黑体" w:hAnsi="黑体" w:eastAsia="黑体"/>
          <w:sz w:val="32"/>
          <w:szCs w:val="32"/>
        </w:rPr>
      </w:pPr>
      <w:bookmarkStart w:id="25" w:name="BookMark4"/>
    </w:p>
    <w:p>
      <w:pPr>
        <w:spacing w:line="20" w:lineRule="exact"/>
        <w:jc w:val="center"/>
        <w:rPr>
          <w:rFonts w:hint="eastAsia" w:ascii="黑体" w:hAnsi="黑体" w:eastAsia="黑体"/>
          <w:sz w:val="32"/>
          <w:szCs w:val="32"/>
        </w:rPr>
      </w:pPr>
    </w:p>
    <w:sdt>
      <w:sdtPr>
        <w:tag w:val="NEW_STAND_NAME"/>
        <w:id w:val="595910757"/>
        <w:lock w:val="sdtLocked"/>
        <w:placeholder>
          <w:docPart w:val="64A24D7E79444214BCA4C10EDA124FE0"/>
        </w:placeholder>
      </w:sdtPr>
      <w:sdtContent>
        <w:p>
          <w:pPr>
            <w:pStyle w:val="177"/>
            <w:spacing w:before="240" w:beforeLines="100" w:after="528" w:afterLines="220"/>
            <w:rPr>
              <w:rFonts w:hint="eastAsia"/>
            </w:rPr>
          </w:pPr>
          <w:bookmarkStart w:id="26" w:name="NEW_STAND_NAME"/>
          <w:r>
            <w:rPr>
              <w:rFonts w:hint="eastAsia"/>
            </w:rPr>
            <w:t>专利代理机构能力无感评价规范</w:t>
          </w:r>
        </w:p>
      </w:sdtContent>
    </w:sdt>
    <w:bookmarkEnd w:id="26"/>
    <w:p>
      <w:pPr>
        <w:pStyle w:val="104"/>
        <w:spacing w:before="240" w:after="240"/>
      </w:pPr>
      <w:bookmarkStart w:id="27" w:name="_Toc97192964"/>
      <w:bookmarkStart w:id="28" w:name="_Toc24884211"/>
      <w:bookmarkStart w:id="29" w:name="_Toc17233325"/>
      <w:bookmarkStart w:id="30" w:name="_Toc26648465"/>
      <w:bookmarkStart w:id="31" w:name="_Toc26718930"/>
      <w:bookmarkStart w:id="32" w:name="_Toc24884218"/>
      <w:bookmarkStart w:id="33" w:name="_Toc26986771"/>
      <w:bookmarkStart w:id="34" w:name="_Toc88744662"/>
      <w:bookmarkStart w:id="35" w:name="_Toc26986530"/>
      <w:bookmarkStart w:id="36" w:name="_Toc17233333"/>
      <w:r>
        <w:rPr>
          <w:rFonts w:hint="eastAsia"/>
        </w:rPr>
        <w:t>范围</w:t>
      </w:r>
      <w:bookmarkEnd w:id="27"/>
      <w:bookmarkEnd w:id="28"/>
      <w:bookmarkEnd w:id="29"/>
      <w:bookmarkEnd w:id="30"/>
      <w:bookmarkEnd w:id="31"/>
      <w:bookmarkEnd w:id="32"/>
      <w:bookmarkEnd w:id="33"/>
      <w:bookmarkEnd w:id="34"/>
      <w:bookmarkEnd w:id="35"/>
      <w:bookmarkEnd w:id="36"/>
    </w:p>
    <w:p>
      <w:pPr>
        <w:pStyle w:val="56"/>
        <w:ind w:firstLine="420"/>
      </w:pPr>
      <w:bookmarkStart w:id="37" w:name="_Toc17233334"/>
      <w:bookmarkStart w:id="38" w:name="_Toc26648466"/>
      <w:bookmarkStart w:id="39" w:name="_Toc24884212"/>
      <w:bookmarkStart w:id="40" w:name="_Toc17233326"/>
      <w:bookmarkStart w:id="41" w:name="_Toc24884219"/>
      <w:r>
        <w:rPr>
          <w:rFonts w:hint="eastAsia"/>
        </w:rPr>
        <w:t>本</w:t>
      </w:r>
      <w:r>
        <w:rPr>
          <w:rFonts w:hint="eastAsia"/>
          <w:lang w:val="en-US" w:eastAsia="zh-CN"/>
        </w:rPr>
        <w:t>文件</w:t>
      </w:r>
      <w:r>
        <w:rPr>
          <w:rFonts w:hint="eastAsia"/>
        </w:rPr>
        <w:t>规定了对专利代理机构能力评价的基本要求、评价原则、评价对象、评价组织、评价程序和标志使用。</w:t>
      </w:r>
    </w:p>
    <w:p>
      <w:pPr>
        <w:pStyle w:val="56"/>
        <w:ind w:firstLine="420"/>
      </w:pPr>
      <w:r>
        <w:rPr>
          <w:rFonts w:hint="eastAsia"/>
        </w:rPr>
        <w:t>本</w:t>
      </w:r>
      <w:r>
        <w:rPr>
          <w:rFonts w:hint="eastAsia"/>
          <w:lang w:val="en-US" w:eastAsia="zh-CN"/>
        </w:rPr>
        <w:t>文件</w:t>
      </w:r>
      <w:r>
        <w:rPr>
          <w:rFonts w:hint="eastAsia"/>
        </w:rPr>
        <w:t>适用于专利代理机构的能力无感评价工作。</w:t>
      </w:r>
    </w:p>
    <w:p>
      <w:pPr>
        <w:pStyle w:val="179"/>
      </w:pPr>
      <w:r>
        <w:t>本</w:t>
      </w:r>
      <w:r>
        <w:rPr>
          <w:rFonts w:hint="eastAsia"/>
          <w:lang w:val="en-US" w:eastAsia="zh-CN"/>
        </w:rPr>
        <w:t>文件</w:t>
      </w:r>
      <w:r>
        <w:t>中专利代理机构指在浙江省内设立并于浙江省知识产权主管部门备案的专利代理机构，不在浙江省内设立的专利代理机构可参照执行。</w:t>
      </w:r>
    </w:p>
    <w:p>
      <w:pPr>
        <w:pStyle w:val="104"/>
        <w:spacing w:before="240" w:after="240"/>
      </w:pPr>
      <w:bookmarkStart w:id="42" w:name="_Toc1905024845"/>
      <w:bookmarkStart w:id="43" w:name="_Toc26986772"/>
      <w:bookmarkStart w:id="44" w:name="_Toc26718931"/>
      <w:bookmarkStart w:id="45" w:name="_Toc97192965"/>
      <w:bookmarkStart w:id="46" w:name="_Toc26986531"/>
      <w:r>
        <w:rPr>
          <w:rFonts w:hint="eastAsia"/>
        </w:rPr>
        <w:t>规范性引用文件</w:t>
      </w:r>
      <w:bookmarkEnd w:id="37"/>
      <w:bookmarkEnd w:id="38"/>
      <w:bookmarkEnd w:id="39"/>
      <w:bookmarkEnd w:id="40"/>
      <w:bookmarkEnd w:id="41"/>
      <w:bookmarkEnd w:id="42"/>
      <w:bookmarkEnd w:id="43"/>
      <w:bookmarkEnd w:id="44"/>
      <w:bookmarkEnd w:id="45"/>
      <w:bookmarkEnd w:id="46"/>
    </w:p>
    <w:sdt>
      <w:sdtPr>
        <w:rPr>
          <w:rFonts w:hint="eastAsia"/>
        </w:rPr>
        <w:id w:val="715848253"/>
        <w:placeholder>
          <w:docPart w:val="4CCAEAE5C67646E3B9BCA58AA3EAA40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t>GB/T 34833-2017  专利代理机构服务规范</w:t>
      </w:r>
    </w:p>
    <w:p>
      <w:pPr>
        <w:pStyle w:val="104"/>
        <w:spacing w:before="240" w:after="240"/>
      </w:pPr>
      <w:bookmarkStart w:id="47" w:name="_Toc97192966"/>
      <w:bookmarkStart w:id="48" w:name="_Toc1070706230"/>
      <w:r>
        <w:rPr>
          <w:rFonts w:hint="eastAsia"/>
          <w:szCs w:val="21"/>
        </w:rPr>
        <w:t>术语和定义</w:t>
      </w:r>
      <w:bookmarkEnd w:id="47"/>
      <w:bookmarkEnd w:id="48"/>
    </w:p>
    <w:sdt>
      <w:sdtPr>
        <w:id w:val="-1"/>
        <w:placeholder>
          <w:docPart w:val="FA9D6C42F06346B9A9A5B3F00721E8CE"/>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49" w:name="_Toc26986532"/>
          <w:bookmarkEnd w:id="49"/>
          <w:r>
            <w:t>下列术语和定义适用于本文件。</w:t>
          </w:r>
        </w:p>
      </w:sdtContent>
    </w:sdt>
    <w:p>
      <w:pPr>
        <w:pStyle w:val="223"/>
        <w:ind w:left="420" w:hanging="420" w:hangingChars="200"/>
        <w:rPr>
          <w:rFonts w:hint="eastAsia" w:ascii="黑体" w:hAnsi="黑体" w:eastAsia="黑体"/>
        </w:rPr>
      </w:pPr>
      <w:bookmarkStart w:id="50" w:name="_Toc2136310746"/>
      <w:bookmarkStart w:id="51" w:name="_Toc1234858454"/>
      <w:r>
        <w:rPr>
          <w:rFonts w:ascii="黑体" w:hAnsi="黑体" w:eastAsia="黑体"/>
        </w:rPr>
        <w:br w:type="textWrapping"/>
      </w:r>
      <w:r>
        <w:rPr>
          <w:rFonts w:ascii="黑体" w:hAnsi="黑体" w:eastAsia="黑体"/>
        </w:rPr>
        <w:t>专利代理</w:t>
      </w:r>
      <w:r>
        <w:rPr>
          <w:rFonts w:hint="eastAsia" w:ascii="黑体" w:hAnsi="黑体" w:eastAsia="黑体"/>
        </w:rPr>
        <w:t xml:space="preserve"> </w:t>
      </w:r>
      <w:r>
        <w:rPr>
          <w:rFonts w:ascii="黑体" w:hAnsi="黑体" w:eastAsia="黑体"/>
        </w:rPr>
        <w:t>patent service</w:t>
      </w:r>
      <w:bookmarkEnd w:id="50"/>
      <w:bookmarkEnd w:id="51"/>
    </w:p>
    <w:p>
      <w:pPr>
        <w:pStyle w:val="56"/>
        <w:ind w:firstLine="420"/>
      </w:pPr>
      <w:r>
        <w:t>专利代理机构接受委托，办理专利申请、专利复审、宣告专利权无效、专利许可、专利转让以及其他专利事务的行为。</w:t>
      </w:r>
    </w:p>
    <w:p>
      <w:pPr>
        <w:pStyle w:val="223"/>
        <w:ind w:left="420" w:hanging="420" w:hangingChars="200"/>
        <w:rPr>
          <w:rFonts w:hint="eastAsia" w:ascii="黑体" w:hAnsi="黑体" w:eastAsia="黑体"/>
        </w:rPr>
      </w:pPr>
      <w:bookmarkStart w:id="52" w:name="_Toc1105975492"/>
      <w:bookmarkStart w:id="53" w:name="_Toc2139391865"/>
      <w:r>
        <w:rPr>
          <w:rFonts w:ascii="黑体" w:hAnsi="黑体" w:eastAsia="黑体"/>
        </w:rPr>
        <w:br w:type="textWrapping"/>
      </w:r>
      <w:r>
        <w:rPr>
          <w:rFonts w:ascii="黑体" w:hAnsi="黑体" w:eastAsia="黑体"/>
        </w:rPr>
        <w:t>专利代理机构</w:t>
      </w:r>
      <w:r>
        <w:rPr>
          <w:rFonts w:hint="eastAsia" w:ascii="黑体" w:hAnsi="黑体" w:eastAsia="黑体"/>
        </w:rPr>
        <w:t xml:space="preserve"> </w:t>
      </w:r>
      <w:r>
        <w:rPr>
          <w:rFonts w:ascii="黑体" w:hAnsi="黑体" w:eastAsia="黑体"/>
        </w:rPr>
        <w:t>patent agency</w:t>
      </w:r>
      <w:bookmarkEnd w:id="52"/>
      <w:bookmarkEnd w:id="53"/>
    </w:p>
    <w:p>
      <w:pPr>
        <w:pStyle w:val="56"/>
        <w:ind w:firstLine="420"/>
      </w:pPr>
      <w:r>
        <w:t>依法设立，取得专利代理执业许可，办理专利代理业务的服务机构。</w:t>
      </w:r>
    </w:p>
    <w:p>
      <w:pPr>
        <w:pStyle w:val="223"/>
        <w:ind w:left="420" w:hanging="420" w:hangingChars="200"/>
        <w:rPr>
          <w:rFonts w:hint="eastAsia" w:ascii="黑体" w:hAnsi="黑体" w:eastAsia="黑体"/>
        </w:rPr>
      </w:pPr>
      <w:bookmarkStart w:id="54" w:name="_Toc1859572677"/>
      <w:bookmarkStart w:id="55" w:name="_Toc1383613046"/>
      <w:r>
        <w:rPr>
          <w:rFonts w:ascii="黑体" w:hAnsi="黑体" w:eastAsia="黑体"/>
        </w:rPr>
        <w:br w:type="textWrapping"/>
      </w:r>
      <w:r>
        <w:rPr>
          <w:rFonts w:ascii="黑体" w:hAnsi="黑体" w:eastAsia="黑体"/>
        </w:rPr>
        <w:t>专利代理师 patent agent</w:t>
      </w:r>
      <w:bookmarkEnd w:id="54"/>
      <w:bookmarkEnd w:id="55"/>
    </w:p>
    <w:p>
      <w:pPr>
        <w:pStyle w:val="56"/>
        <w:ind w:firstLine="420"/>
      </w:pPr>
      <w:r>
        <w:t>依法取得资质，在专利代理机构从事专利代理业务的执业人员。</w:t>
      </w:r>
    </w:p>
    <w:p>
      <w:pPr>
        <w:pStyle w:val="223"/>
        <w:ind w:left="420" w:hanging="420" w:hangingChars="200"/>
        <w:rPr>
          <w:rFonts w:hint="eastAsia" w:ascii="黑体" w:hAnsi="黑体" w:eastAsia="黑体"/>
        </w:rPr>
      </w:pPr>
      <w:bookmarkStart w:id="56" w:name="_Toc738677380"/>
      <w:bookmarkStart w:id="57" w:name="_Toc1398512099"/>
      <w:r>
        <w:rPr>
          <w:rFonts w:ascii="黑体" w:hAnsi="黑体" w:eastAsia="黑体"/>
        </w:rPr>
        <w:br w:type="textWrapping"/>
      </w:r>
      <w:r>
        <w:rPr>
          <w:rFonts w:ascii="黑体" w:hAnsi="黑体" w:eastAsia="黑体"/>
        </w:rPr>
        <w:t>执业年限</w:t>
      </w:r>
      <w:r>
        <w:rPr>
          <w:rFonts w:hint="eastAsia" w:ascii="黑体" w:hAnsi="黑体" w:eastAsia="黑体"/>
        </w:rPr>
        <w:t xml:space="preserve"> </w:t>
      </w:r>
      <w:r>
        <w:rPr>
          <w:rFonts w:ascii="黑体" w:hAnsi="黑体" w:eastAsia="黑体"/>
        </w:rPr>
        <w:t>years of practice</w:t>
      </w:r>
      <w:bookmarkEnd w:id="56"/>
      <w:bookmarkEnd w:id="57"/>
    </w:p>
    <w:p>
      <w:pPr>
        <w:pStyle w:val="56"/>
        <w:ind w:firstLine="420"/>
      </w:pPr>
      <w:r>
        <w:t>专利代理师首次取得专利代理师（或专利代理人）执业证至今的从业年限。</w:t>
      </w:r>
    </w:p>
    <w:p>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lang w:eastAsia="zh-CN"/>
        </w:rPr>
        <w:t>无感评价</w:t>
      </w:r>
      <w:r>
        <w:rPr>
          <w:rFonts w:hint="eastAsia" w:ascii="黑体" w:hAnsi="黑体" w:eastAsia="黑体"/>
          <w:lang w:val="en-US" w:eastAsia="zh-CN"/>
        </w:rPr>
        <w:t>unconsciously</w:t>
      </w:r>
      <w:r>
        <w:rPr>
          <w:rFonts w:hint="eastAsia" w:ascii="黑体" w:hAnsi="黑体" w:eastAsia="黑体"/>
          <w:lang w:eastAsia="zh-CN"/>
        </w:rPr>
        <w:t xml:space="preserve"> evaluation</w:t>
      </w:r>
    </w:p>
    <w:p>
      <w:pPr>
        <w:pStyle w:val="56"/>
        <w:ind w:firstLine="420"/>
        <w:rPr>
          <w:rFonts w:hint="eastAsia"/>
          <w:highlight w:val="none"/>
        </w:rPr>
      </w:pPr>
      <w:r>
        <w:rPr>
          <w:rFonts w:hint="eastAsia"/>
          <w:highlight w:val="none"/>
          <w:lang w:eastAsia="zh-CN"/>
        </w:rPr>
        <w:t>通过信息化手段自动抓取、采集被评价对象在一定时间内服务创新主体的客观服务数据，以无感的方式开展评价工作。在整个评价过程中，被评价对象无需主动填报数据、无需提供额外证明材料、无需参与任何形式的考核测试，对评价活动的发生“无感知”</w:t>
      </w:r>
      <w:r>
        <w:rPr>
          <w:rFonts w:hint="eastAsia"/>
          <w:highlight w:val="none"/>
        </w:rPr>
        <w:t>。</w:t>
      </w:r>
    </w:p>
    <w:p>
      <w:pPr>
        <w:pStyle w:val="104"/>
        <w:spacing w:before="240" w:after="240"/>
      </w:pPr>
      <w:bookmarkStart w:id="58" w:name="_Toc1945651550"/>
      <w:bookmarkStart w:id="59" w:name="_Toc730167383"/>
      <w:r>
        <w:t>评价原则</w:t>
      </w:r>
      <w:bookmarkEnd w:id="58"/>
      <w:bookmarkEnd w:id="59"/>
    </w:p>
    <w:p>
      <w:pPr>
        <w:pStyle w:val="105"/>
        <w:spacing w:before="120" w:after="120"/>
      </w:pPr>
      <w:bookmarkStart w:id="60" w:name="_Toc1110163300"/>
      <w:bookmarkStart w:id="61" w:name="_Toc1304057841"/>
      <w:bookmarkStart w:id="62" w:name="_Toc43699620"/>
      <w:r>
        <w:t>客观性</w:t>
      </w:r>
      <w:bookmarkEnd w:id="60"/>
      <w:bookmarkEnd w:id="61"/>
      <w:bookmarkEnd w:id="62"/>
    </w:p>
    <w:p>
      <w:pPr>
        <w:pStyle w:val="56"/>
        <w:ind w:firstLine="420"/>
      </w:pPr>
      <w:r>
        <w:t>评价过程应以客观事实为依据，不受各方面的干扰和影响，确保评价结果合理公平。评价结果应客观反映一个评价周期内</w:t>
      </w:r>
      <w:r>
        <w:rPr>
          <w:rFonts w:hint="eastAsia"/>
          <w:lang w:eastAsia="zh-CN"/>
        </w:rPr>
        <w:t>机构</w:t>
      </w:r>
      <w:r>
        <w:t>服务能力和信用水平。</w:t>
      </w:r>
    </w:p>
    <w:p>
      <w:pPr>
        <w:pStyle w:val="105"/>
        <w:spacing w:before="120" w:after="120"/>
      </w:pPr>
      <w:bookmarkStart w:id="63" w:name="_Toc680423638"/>
      <w:bookmarkStart w:id="64" w:name="_Toc812300441"/>
      <w:r>
        <w:t>适用性</w:t>
      </w:r>
      <w:bookmarkEnd w:id="63"/>
      <w:bookmarkEnd w:id="64"/>
    </w:p>
    <w:p>
      <w:pPr>
        <w:pStyle w:val="56"/>
        <w:ind w:firstLine="420"/>
      </w:pPr>
      <w:r>
        <w:t>评价信息和数据易采集、可量化，确保评价结果与</w:t>
      </w:r>
      <w:r>
        <w:rPr>
          <w:rFonts w:hint="eastAsia"/>
          <w:lang w:eastAsia="zh-CN"/>
        </w:rPr>
        <w:t>机构</w:t>
      </w:r>
      <w:r>
        <w:t>的服务能力和信用水平相适应。</w:t>
      </w:r>
    </w:p>
    <w:p>
      <w:pPr>
        <w:pStyle w:val="105"/>
        <w:spacing w:before="120" w:after="120"/>
      </w:pPr>
      <w:bookmarkStart w:id="65" w:name="_Toc874901042"/>
      <w:r>
        <w:t>安全性</w:t>
      </w:r>
      <w:bookmarkEnd w:id="65"/>
    </w:p>
    <w:p>
      <w:pPr>
        <w:pStyle w:val="56"/>
        <w:ind w:firstLine="420"/>
      </w:pPr>
      <w:r>
        <w:t>评价工作应采用相应的防范措施，防止评价对象的隐私信息、信用信息丢失或泄露，确保信息安全和评价对象合法权益。</w:t>
      </w:r>
    </w:p>
    <w:p>
      <w:pPr>
        <w:pStyle w:val="104"/>
        <w:spacing w:before="240" w:after="240"/>
      </w:pPr>
      <w:bookmarkStart w:id="66" w:name="_Toc2023046712"/>
      <w:bookmarkStart w:id="67" w:name="_Toc1052534782"/>
      <w:r>
        <w:t>评价对象</w:t>
      </w:r>
      <w:bookmarkEnd w:id="66"/>
      <w:bookmarkEnd w:id="67"/>
      <w:bookmarkStart w:id="68" w:name="_Toc313168761"/>
    </w:p>
    <w:p>
      <w:pPr>
        <w:pStyle w:val="56"/>
        <w:ind w:firstLine="420"/>
      </w:pPr>
      <w:r>
        <w:t>评价对象</w:t>
      </w:r>
      <w:r>
        <w:rPr>
          <w:rFonts w:hint="eastAsia"/>
          <w:lang w:val="en-US" w:eastAsia="zh-CN"/>
        </w:rPr>
        <w:t>应</w:t>
      </w:r>
      <w:r>
        <w:t>为在浙江省内设立并于浙江省知识产权主管部门备案的专利代理机构。</w:t>
      </w:r>
      <w:bookmarkEnd w:id="68"/>
    </w:p>
    <w:p>
      <w:pPr>
        <w:pStyle w:val="56"/>
        <w:ind w:firstLine="420"/>
      </w:pPr>
      <w:bookmarkStart w:id="69" w:name="_Toc1642987241"/>
      <w:bookmarkStart w:id="70" w:name="_Toc542897003"/>
      <w:r>
        <w:t>参评机构应同时满足以下条件：</w:t>
      </w:r>
      <w:bookmarkEnd w:id="69"/>
      <w:bookmarkEnd w:id="70"/>
    </w:p>
    <w:p>
      <w:pPr>
        <w:pStyle w:val="109"/>
      </w:pPr>
      <w:bookmarkStart w:id="71" w:name="_Toc129230030"/>
      <w:bookmarkStart w:id="72" w:name="_Toc1176272894"/>
      <w:r>
        <w:t>持有有效的专利代理机构执业许可证；</w:t>
      </w:r>
      <w:bookmarkEnd w:id="71"/>
      <w:bookmarkEnd w:id="72"/>
    </w:p>
    <w:p>
      <w:pPr>
        <w:pStyle w:val="109"/>
      </w:pPr>
      <w:bookmarkStart w:id="73" w:name="_Toc1209510717"/>
      <w:bookmarkStart w:id="74" w:name="_Toc995780608"/>
      <w:r>
        <w:t>近三年内未受过各级专利行政主管部门的行政处罚，执业许可证未被吊销、注销或处于责令停业期间，无因违反职业道德或执业纪律而受到行业自律组织惩戒的记录；</w:t>
      </w:r>
      <w:bookmarkEnd w:id="73"/>
      <w:bookmarkEnd w:id="74"/>
    </w:p>
    <w:p>
      <w:pPr>
        <w:pStyle w:val="109"/>
      </w:pPr>
      <w:bookmarkStart w:id="75" w:name="_Toc634553448"/>
      <w:bookmarkStart w:id="76" w:name="_Toc1554716482"/>
      <w:r>
        <w:t>在评价周期内，代理的发明专利申请具有结案记录，且结案数量不少于1件。</w:t>
      </w:r>
      <w:bookmarkEnd w:id="75"/>
      <w:bookmarkEnd w:id="76"/>
    </w:p>
    <w:p>
      <w:pPr>
        <w:pStyle w:val="104"/>
        <w:spacing w:before="240" w:after="240"/>
      </w:pPr>
      <w:bookmarkStart w:id="77" w:name="_Toc280887421"/>
      <w:bookmarkStart w:id="78" w:name="_Toc1525081237"/>
      <w:r>
        <w:t>评价组织</w:t>
      </w:r>
      <w:bookmarkEnd w:id="77"/>
      <w:bookmarkEnd w:id="78"/>
    </w:p>
    <w:p>
      <w:pPr>
        <w:pStyle w:val="162"/>
      </w:pPr>
      <w:r>
        <w:t>由具备相应资质条件的知识产权</w:t>
      </w:r>
      <w:r>
        <w:rPr>
          <w:rFonts w:hint="eastAsia"/>
          <w:lang w:eastAsia="zh-CN"/>
        </w:rPr>
        <w:t>管理部门</w:t>
      </w:r>
      <w:r>
        <w:t>和行业组织联合组建专利代理</w:t>
      </w:r>
      <w:r>
        <w:rPr>
          <w:rFonts w:hint="eastAsia"/>
          <w:lang w:eastAsia="zh-CN"/>
        </w:rPr>
        <w:t>机构</w:t>
      </w:r>
      <w:r>
        <w:t>能力评价工作组（下称“评价工作组”）。</w:t>
      </w:r>
    </w:p>
    <w:p>
      <w:pPr>
        <w:pStyle w:val="162"/>
      </w:pPr>
      <w:r>
        <w:t>评价工作组</w:t>
      </w:r>
      <w:r>
        <w:rPr>
          <w:rFonts w:hint="eastAsia"/>
          <w:lang w:val="en-US" w:eastAsia="zh-CN"/>
        </w:rPr>
        <w:t>承担</w:t>
      </w:r>
      <w:r>
        <w:t>工作组的人员组织、技术支持等工作</w:t>
      </w:r>
      <w:r>
        <w:rPr>
          <w:rFonts w:hint="eastAsia"/>
          <w:lang w:eastAsia="zh-CN"/>
        </w:rPr>
        <w:t>，</w:t>
      </w:r>
      <w:r>
        <w:rPr>
          <w:rFonts w:hint="eastAsia"/>
          <w:lang w:val="en-US" w:eastAsia="zh-CN"/>
        </w:rPr>
        <w:t>以及</w:t>
      </w:r>
      <w:r>
        <w:t>承担评价结果及等级标志的使用与管理等工作。</w:t>
      </w:r>
    </w:p>
    <w:p>
      <w:pPr>
        <w:pStyle w:val="162"/>
      </w:pPr>
      <w:r>
        <w:t>评价工作组负责专利代理</w:t>
      </w:r>
      <w:r>
        <w:rPr>
          <w:rFonts w:hint="eastAsia"/>
          <w:lang w:eastAsia="zh-CN"/>
        </w:rPr>
        <w:t>机构</w:t>
      </w:r>
      <w:r>
        <w:t>能力评价工作，应承担确定数据来源、采集数据、数据加工等评价工作。</w:t>
      </w:r>
    </w:p>
    <w:p>
      <w:pPr>
        <w:pStyle w:val="104"/>
        <w:spacing w:before="240" w:after="240"/>
      </w:pPr>
      <w:bookmarkStart w:id="79" w:name="_Toc502743976"/>
      <w:bookmarkStart w:id="80" w:name="_Toc800453237"/>
      <w:bookmarkStart w:id="81" w:name="_Toc1480793242"/>
      <w:r>
        <w:t>评价</w:t>
      </w:r>
      <w:bookmarkEnd w:id="79"/>
      <w:r>
        <w:t>程序</w:t>
      </w:r>
      <w:bookmarkEnd w:id="80"/>
      <w:bookmarkEnd w:id="81"/>
    </w:p>
    <w:p>
      <w:pPr>
        <w:pStyle w:val="105"/>
        <w:spacing w:before="120" w:after="120"/>
      </w:pPr>
      <w:bookmarkStart w:id="82" w:name="_Toc1118437080"/>
      <w:bookmarkStart w:id="83" w:name="_Toc807364170"/>
      <w:r>
        <w:t>评价周期</w:t>
      </w:r>
      <w:bookmarkEnd w:id="82"/>
      <w:bookmarkEnd w:id="83"/>
    </w:p>
    <w:p>
      <w:pPr>
        <w:pStyle w:val="56"/>
        <w:ind w:left="0" w:leftChars="0" w:firstLine="0" w:firstLineChars="0"/>
      </w:pPr>
      <w:r>
        <w:rPr>
          <w:rFonts w:hint="eastAsia"/>
          <w:lang w:val="en-US" w:eastAsia="zh-CN"/>
        </w:rPr>
        <w:t xml:space="preserve">7.1.1 </w:t>
      </w:r>
      <w:r>
        <w:t>每3年自主开展一次专利代理机构能力无感评价，到期之后自动开展下次无感评价。</w:t>
      </w:r>
    </w:p>
    <w:p>
      <w:pPr>
        <w:pStyle w:val="179"/>
        <w:numPr>
          <w:ilvl w:val="0"/>
          <w:numId w:val="0"/>
        </w:numPr>
        <w:rPr>
          <w:rFonts w:ascii="宋体" w:hAnsi="Times New Roman" w:eastAsia="宋体" w:cs="Times New Roman"/>
          <w:sz w:val="21"/>
          <w:szCs w:val="20"/>
          <w:lang w:val="en-US" w:eastAsia="zh-CN" w:bidi="ar-SA"/>
        </w:rPr>
      </w:pPr>
      <w:r>
        <w:rPr>
          <w:rFonts w:hint="eastAsia" w:cs="Times New Roman"/>
          <w:sz w:val="21"/>
          <w:szCs w:val="20"/>
          <w:lang w:val="en-US" w:eastAsia="zh-CN" w:bidi="ar-SA"/>
        </w:rPr>
        <w:t xml:space="preserve">7.1.2 </w:t>
      </w:r>
      <w:r>
        <w:rPr>
          <w:rFonts w:ascii="宋体" w:hAnsi="Times New Roman" w:eastAsia="宋体" w:cs="Times New Roman"/>
          <w:sz w:val="21"/>
          <w:szCs w:val="20"/>
          <w:lang w:val="en-US" w:eastAsia="zh-CN" w:bidi="ar-SA"/>
        </w:rPr>
        <w:t>当出现以下情形时，可增加评价工作频率：</w:t>
      </w:r>
    </w:p>
    <w:p>
      <w:pPr>
        <w:pStyle w:val="109"/>
        <w:numPr>
          <w:ilvl w:val="1"/>
          <w:numId w:val="32"/>
        </w:numPr>
        <w:rPr>
          <w:rFonts w:ascii="宋体" w:hAnsi="Times New Roman" w:eastAsia="宋体" w:cs="Times New Roman"/>
          <w:sz w:val="21"/>
          <w:lang w:val="en-US" w:eastAsia="zh-CN" w:bidi="ar-SA"/>
        </w:rPr>
      </w:pPr>
      <w:r>
        <w:rPr>
          <w:rFonts w:ascii="宋体" w:hAnsi="Times New Roman" w:eastAsia="宋体" w:cs="Times New Roman"/>
          <w:sz w:val="21"/>
          <w:lang w:val="en-US" w:eastAsia="zh-CN" w:bidi="ar-SA"/>
        </w:rPr>
        <w:t>当专利代理行业相关的法律法规或行业标准发生重大变化时；</w:t>
      </w:r>
    </w:p>
    <w:p>
      <w:pPr>
        <w:pStyle w:val="109"/>
        <w:rPr>
          <w:rFonts w:ascii="宋体" w:hAnsi="Times New Roman" w:eastAsia="宋体" w:cs="Times New Roman"/>
          <w:sz w:val="21"/>
          <w:lang w:val="en-US" w:eastAsia="zh-CN" w:bidi="ar-SA"/>
        </w:rPr>
      </w:pPr>
      <w:r>
        <w:rPr>
          <w:rFonts w:ascii="宋体" w:hAnsi="Times New Roman" w:eastAsia="宋体" w:cs="Times New Roman"/>
          <w:sz w:val="21"/>
          <w:lang w:val="en-US" w:eastAsia="zh-CN" w:bidi="ar-SA"/>
        </w:rPr>
        <w:t>基于行业发展的实际需要，也可主动对评价工作频率进行调整。</w:t>
      </w:r>
    </w:p>
    <w:p>
      <w:pPr>
        <w:pStyle w:val="105"/>
        <w:spacing w:before="120" w:after="120"/>
      </w:pPr>
      <w:bookmarkStart w:id="84" w:name="_Toc1562942356"/>
      <w:bookmarkStart w:id="85" w:name="_Toc1527232672"/>
      <w:r>
        <w:t>评价方法</w:t>
      </w:r>
      <w:bookmarkEnd w:id="84"/>
      <w:bookmarkEnd w:id="85"/>
    </w:p>
    <w:p>
      <w:pPr>
        <w:pStyle w:val="165"/>
        <w:rPr>
          <w:highlight w:val="none"/>
        </w:rPr>
      </w:pPr>
      <w:r>
        <w:rPr>
          <w:rFonts w:hint="eastAsia"/>
          <w:highlight w:val="none"/>
          <w:lang w:eastAsia="zh-CN"/>
        </w:rPr>
        <w:t>专利代理机构能力无感评价分值计算方法见附录</w:t>
      </w:r>
      <w:r>
        <w:rPr>
          <w:rFonts w:hint="eastAsia"/>
          <w:highlight w:val="none"/>
          <w:lang w:val="en-US" w:eastAsia="zh-CN"/>
        </w:rPr>
        <w:t>A，无感评价内容及具体分值见附录B。</w:t>
      </w:r>
    </w:p>
    <w:p>
      <w:pPr>
        <w:pStyle w:val="165"/>
      </w:pPr>
      <w:r>
        <w:t xml:space="preserve">评价等级为五级，等级标志从高到低依次记为“AAAAA、AAAA、AAA、AA、A”，总分采用百分制，等级与分数对应关系见附录 </w:t>
      </w:r>
      <w:r>
        <w:rPr>
          <w:rFonts w:hint="eastAsia"/>
          <w:lang w:val="en-US" w:eastAsia="zh-CN"/>
        </w:rPr>
        <w:t>C</w:t>
      </w:r>
      <w:r>
        <w:t>。</w:t>
      </w:r>
    </w:p>
    <w:p>
      <w:pPr>
        <w:pStyle w:val="165"/>
      </w:pPr>
      <w:r>
        <w:t xml:space="preserve">分数计算求和公式  </w:t>
      </w:r>
    </w:p>
    <w:p>
      <w:pPr>
        <w:pStyle w:val="56"/>
        <w:ind w:firstLine="420"/>
      </w:pPr>
      <w:r>
        <w:t>设：</w:t>
      </w:r>
    </w:p>
    <w:p>
      <w:pPr>
        <w:pStyle w:val="109"/>
        <w:numPr>
          <w:ilvl w:val="1"/>
          <w:numId w:val="33"/>
        </w:numPr>
      </w:pPr>
      <w:r>
        <w:t>共有n项</w:t>
      </w:r>
      <w:r>
        <w:rPr>
          <w:rFonts w:hint="eastAsia"/>
          <w:lang w:eastAsia="zh-CN"/>
        </w:rPr>
        <w:t>二</w:t>
      </w:r>
      <w:r>
        <w:t>级评价指标；</w:t>
      </w:r>
    </w:p>
    <w:p>
      <w:pPr>
        <w:pStyle w:val="109"/>
      </w:pPr>
      <w:r>
        <w:t>第i项指标得分为x</w:t>
      </w:r>
      <w:r>
        <w:rPr>
          <w:vertAlign w:val="subscript"/>
        </w:rPr>
        <w:t>i</w:t>
      </w:r>
      <w:r>
        <w:t>（百分制，0 ≤x</w:t>
      </w:r>
      <w:r>
        <w:rPr>
          <w:vertAlign w:val="subscript"/>
        </w:rPr>
        <w:t>i</w:t>
      </w:r>
      <w:r>
        <w:t>≤ 100）；</w:t>
      </w:r>
    </w:p>
    <w:p>
      <w:pPr>
        <w:pStyle w:val="109"/>
      </w:pPr>
      <w:r>
        <w:t>第i项指标权重为w</w:t>
      </w:r>
      <w:r>
        <w:rPr>
          <w:vertAlign w:val="subscript"/>
        </w:rPr>
        <w:t>i</w:t>
      </w:r>
      <w:r>
        <w:t>（0 &lt;w</w:t>
      </w:r>
      <w:r>
        <w:rPr>
          <w:vertAlign w:val="subscript"/>
        </w:rPr>
        <w:t>i</w:t>
      </w:r>
      <w:r>
        <w:t>&lt; 1，且</w:t>
      </w:r>
      <m:oMath>
        <m:nary>
          <m:naryPr>
            <m:chr m:val="∑"/>
            <m:limLoc m:val="subSup"/>
            <m:ctrlPr>
              <w:rPr>
                <w:rFonts w:ascii="Cambria Math" w:hAnsi="Cambria Math"/>
              </w:rPr>
            </m:ctrlPr>
          </m:naryPr>
          <m:sub>
            <m:r>
              <m:rPr>
                <m:sty m:val="p"/>
              </m:rPr>
              <w:rPr>
                <w:rFonts w:ascii="Cambria Math" w:hAnsi="Cambria Math"/>
              </w:rPr>
              <m:t>i=1</m:t>
            </m:r>
            <m:ctrlPr>
              <w:rPr>
                <w:rFonts w:ascii="Cambria Math" w:hAnsi="Cambria Math"/>
              </w:rPr>
            </m:ctrlPr>
          </m:sub>
          <m:sup>
            <m:r>
              <m:rPr>
                <m:sty m:val="p"/>
              </m:rPr>
              <w:rPr>
                <w:rFonts w:ascii="Cambria Math" w:hAnsi="Cambria Math"/>
              </w:rPr>
              <m:t>n</m:t>
            </m:r>
            <m:ctrlPr>
              <w:rPr>
                <w:rFonts w:ascii="Cambria Math" w:hAnsi="Cambria Math"/>
              </w:rPr>
            </m:ctrlPr>
          </m:sup>
          <m:e>
            <m:sSub>
              <m:sSubPr>
                <m:ctrlPr>
                  <w:rPr>
                    <w:rFonts w:ascii="Cambria Math" w:hAnsi="Cambria Math"/>
                  </w:rPr>
                </m:ctrlPr>
              </m:sSubPr>
              <m:e>
                <m:r>
                  <m:rPr>
                    <m:sty m:val="p"/>
                  </m:rPr>
                  <w:rPr>
                    <w:rFonts w:ascii="Cambria Math" w:hAnsi="Cambria Math"/>
                  </w:rPr>
                  <m:t>w</m:t>
                </m:r>
                <m:ctrlPr>
                  <w:rPr>
                    <w:rFonts w:ascii="Cambria Math" w:hAnsi="Cambria Math"/>
                  </w:rPr>
                </m:ctrlPr>
              </m:e>
              <m:sub>
                <m:r>
                  <m:rPr>
                    <m:sty m:val="p"/>
                  </m:rPr>
                  <w:rPr>
                    <w:rFonts w:ascii="Cambria Math" w:hAnsi="Cambria Math"/>
                  </w:rPr>
                  <m:t>i</m:t>
                </m:r>
                <m:ctrlPr>
                  <w:rPr>
                    <w:rFonts w:ascii="Cambria Math" w:hAnsi="Cambria Math"/>
                  </w:rPr>
                </m:ctrlPr>
              </m:sub>
            </m:sSub>
            <m:r>
              <m:rPr>
                <m:sty m:val="p"/>
              </m:rPr>
              <w:rPr>
                <w:rFonts w:ascii="Cambria Math" w:hAnsi="Cambria Math"/>
              </w:rPr>
              <m:t>=1</m:t>
            </m:r>
            <m:ctrlPr>
              <w:rPr>
                <w:rFonts w:ascii="Cambria Math" w:hAnsi="Cambria Math"/>
              </w:rPr>
            </m:ctrlPr>
          </m:e>
        </m:nary>
      </m:oMath>
      <w:r>
        <w:t>）；权重不展示在标准中，在每次评价发文时规定。</w:t>
      </w:r>
    </w:p>
    <w:p>
      <w:pPr>
        <w:pStyle w:val="109"/>
      </w:pPr>
      <w:r>
        <w:t>加分项</w:t>
      </w:r>
      <w:r>
        <w:rPr>
          <w:rFonts w:hint="eastAsia"/>
          <w:lang w:val="en-US" w:eastAsia="zh-CN"/>
        </w:rPr>
        <w:t>D</w:t>
      </w:r>
      <w:r>
        <w:t>为附加分。</w:t>
      </w:r>
    </w:p>
    <w:p>
      <w:pPr>
        <w:pStyle w:val="56"/>
        <w:ind w:firstLine="420"/>
      </w:pPr>
      <w:r>
        <w:t>则总分为：</w:t>
      </w:r>
    </w:p>
    <w:p>
      <w:pPr>
        <w:pStyle w:val="113"/>
        <w:rPr>
          <w:rFonts w:hint="eastAsia" w:eastAsia="宋体"/>
          <w:lang w:eastAsia="zh-CN"/>
        </w:rPr>
      </w:pPr>
      <w:r>
        <w:rPr>
          <w:rFonts w:hint="eastAsia"/>
        </w:rPr>
        <w:tab/>
      </w:r>
      <w:bookmarkStart w:id="86" w:name="OLE_LINK16"/>
      <m:oMath>
        <m:r>
          <m:rPr/>
          <w:rPr>
            <w:rFonts w:ascii="Cambria Math" w:hAnsi="Cambria Math"/>
          </w:rPr>
          <m:t>S=</m:t>
        </m:r>
        <m:nary>
          <m:naryPr>
            <m:chr m:val="∑"/>
            <m:limLoc m:val="subSup"/>
            <m:ctrlPr>
              <w:rPr>
                <w:rFonts w:ascii="Cambria Math" w:hAnsi="Cambria Math"/>
                <w:i/>
              </w:rPr>
            </m:ctrlPr>
          </m:naryPr>
          <m:sub>
            <m:r>
              <m:rPr/>
              <w:rPr>
                <w:rFonts w:ascii="Cambria Math" w:hAnsi="Cambria Math"/>
              </w:rPr>
              <m:t>i=1</m:t>
            </m:r>
            <m:ctrlPr>
              <w:rPr>
                <w:rFonts w:ascii="Cambria Math" w:hAnsi="Cambria Math"/>
                <w:i/>
              </w:rPr>
            </m:ctrlPr>
          </m:sub>
          <m:sup>
            <m:r>
              <m:rPr/>
              <w:rPr>
                <w:rFonts w:ascii="Cambria Math" w:hAnsi="Cambria Math"/>
              </w:rPr>
              <m:t>n</m:t>
            </m:r>
            <m:ctrlPr>
              <w:rPr>
                <w:rFonts w:ascii="Cambria Math" w:hAnsi="Cambria Math"/>
                <w:i/>
              </w:rPr>
            </m:ctrlPr>
          </m:sup>
          <m:e>
            <m:r>
              <m:rPr/>
              <w:rPr>
                <w:rFonts w:ascii="Cambria Math" w:hAnsi="Cambria Math"/>
              </w:rPr>
              <m:t>(</m:t>
            </m:r>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w</m:t>
                </m:r>
                <m:ctrlPr>
                  <w:rPr>
                    <w:rFonts w:ascii="Cambria Math" w:hAnsi="Cambria Math"/>
                    <w:i/>
                  </w:rPr>
                </m:ctrlPr>
              </m:e>
              <m:sub>
                <m:r>
                  <m:rPr/>
                  <w:rPr>
                    <w:rFonts w:ascii="Cambria Math" w:hAnsi="Cambria Math"/>
                  </w:rPr>
                  <m:t>i</m:t>
                </m:r>
                <m:ctrlPr>
                  <w:rPr>
                    <w:rFonts w:ascii="Cambria Math" w:hAnsi="Cambria Math"/>
                    <w:i/>
                  </w:rPr>
                </m:ctrlPr>
              </m:sub>
            </m:sSub>
            <m:r>
              <m:rPr/>
              <w:rPr>
                <w:rFonts w:ascii="Cambria Math" w:hAnsi="Cambria Math"/>
              </w:rPr>
              <m:t>)</m:t>
            </m:r>
            <w:bookmarkEnd w:id="86"/>
            <m:ctrlPr>
              <w:rPr>
                <w:rFonts w:ascii="Cambria Math" w:hAnsi="Cambria Math"/>
                <w:i/>
              </w:rPr>
            </m:ctrlPr>
          </m:e>
        </m:nary>
        <m:r>
          <m:rPr>
            <m:sty m:val="p"/>
          </m:rPr>
          <w:rPr>
            <w:rFonts w:ascii="Cambria Math" w:hAnsi="Cambria Math"/>
          </w:rPr>
          <m:t>＋</m:t>
        </m:r>
        <m:r>
          <m:rPr/>
          <w:rPr>
            <w:rFonts w:hint="default" w:ascii="DejaVu Math TeX Gyre" w:hAnsi="DejaVu Math TeX Gyre"/>
            <w:lang w:val="en-US" w:eastAsia="zh-CN"/>
          </w:rPr>
          <m:t>D</m:t>
        </m:r>
      </m:oMath>
    </w:p>
    <w:p>
      <w:pPr>
        <w:pStyle w:val="112"/>
        <w:spacing w:before="120" w:after="120"/>
      </w:pPr>
      <w:r>
        <w:rPr>
          <w:rFonts w:hint="eastAsia"/>
        </w:rPr>
        <w:t>计算示例（以某专利代理机构为例）</w:t>
      </w:r>
    </w:p>
    <w:tbl>
      <w:tblPr>
        <w:tblStyle w:val="27"/>
        <w:tblW w:w="80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752"/>
        <w:gridCol w:w="1401"/>
        <w:gridCol w:w="1786"/>
        <w:gridCol w:w="21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52" w:type="dxa"/>
            <w:tcBorders>
              <w:top w:val="single" w:color="auto" w:sz="8" w:space="0"/>
              <w:bottom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评价指标</w:t>
            </w:r>
          </w:p>
        </w:tc>
        <w:tc>
          <w:tcPr>
            <w:tcW w:w="1401" w:type="dxa"/>
            <w:tcBorders>
              <w:top w:val="single" w:color="auto" w:sz="8" w:space="0"/>
              <w:bottom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得分x</w:t>
            </w:r>
            <w:r>
              <w:rPr>
                <w:rFonts w:hint="eastAsia" w:asciiTheme="minorEastAsia" w:hAnsiTheme="minorEastAsia" w:eastAsiaTheme="minorEastAsia" w:cstheme="minorEastAsia"/>
                <w:sz w:val="18"/>
                <w:szCs w:val="24"/>
                <w:vertAlign w:val="subscript"/>
              </w:rPr>
              <w:t>i</w:t>
            </w:r>
            <w:r>
              <w:rPr>
                <w:rFonts w:hint="eastAsia" w:asciiTheme="minorEastAsia" w:hAnsiTheme="minorEastAsia" w:eastAsiaTheme="minorEastAsia" w:cstheme="minorEastAsia"/>
                <w:sz w:val="18"/>
                <w:szCs w:val="24"/>
              </w:rPr>
              <w:t>​</w:t>
            </w:r>
          </w:p>
        </w:tc>
        <w:tc>
          <w:tcPr>
            <w:tcW w:w="1786" w:type="dxa"/>
            <w:tcBorders>
              <w:top w:val="single" w:color="auto" w:sz="8" w:space="0"/>
              <w:bottom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权重w</w:t>
            </w:r>
            <w:r>
              <w:rPr>
                <w:rFonts w:hint="eastAsia" w:asciiTheme="minorEastAsia" w:hAnsiTheme="minorEastAsia" w:eastAsiaTheme="minorEastAsia" w:cstheme="minorEastAsia"/>
                <w:sz w:val="18"/>
                <w:szCs w:val="24"/>
                <w:vertAlign w:val="subscript"/>
              </w:rPr>
              <w:t>i</w:t>
            </w:r>
            <w:r>
              <w:rPr>
                <w:rFonts w:hint="eastAsia" w:asciiTheme="minorEastAsia" w:hAnsiTheme="minorEastAsia" w:eastAsiaTheme="minorEastAsia" w:cstheme="minorEastAsia"/>
                <w:sz w:val="18"/>
                <w:szCs w:val="24"/>
              </w:rPr>
              <w:t>​</w:t>
            </w:r>
          </w:p>
        </w:tc>
        <w:tc>
          <w:tcPr>
            <w:tcW w:w="2127" w:type="dxa"/>
            <w:tcBorders>
              <w:top w:val="single" w:color="auto" w:sz="8" w:space="0"/>
              <w:bottom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加权得分x</w:t>
            </w:r>
            <w:r>
              <w:rPr>
                <w:rFonts w:hint="eastAsia" w:asciiTheme="minorEastAsia" w:hAnsiTheme="minorEastAsia" w:eastAsiaTheme="minorEastAsia" w:cstheme="minorEastAsia"/>
                <w:sz w:val="18"/>
                <w:szCs w:val="24"/>
                <w:vertAlign w:val="subscript"/>
              </w:rPr>
              <w:t>i</w:t>
            </w:r>
            <w:r>
              <w:rPr>
                <w:rFonts w:hint="eastAsia" w:asciiTheme="minorEastAsia" w:hAnsiTheme="minorEastAsia" w:eastAsiaTheme="minorEastAsia" w:cstheme="minorEastAsia"/>
                <w:sz w:val="18"/>
                <w:szCs w:val="24"/>
              </w:rPr>
              <w:t>×w</w:t>
            </w:r>
            <w:r>
              <w:rPr>
                <w:rFonts w:hint="eastAsia" w:asciiTheme="minorEastAsia" w:hAnsiTheme="minorEastAsia" w:eastAsiaTheme="minorEastAsia" w:cstheme="minorEastAsia"/>
                <w:sz w:val="18"/>
                <w:szCs w:val="24"/>
                <w:vertAlign w:val="subscript"/>
              </w:rPr>
              <w:t>i</w:t>
            </w:r>
            <w:r>
              <w:rPr>
                <w:rFonts w:hint="eastAsia" w:asciiTheme="minorEastAsia" w:hAnsiTheme="minorEastAsia" w:eastAsiaTheme="minorEastAsia" w:cstheme="minorEastAsia"/>
                <w:sz w:val="18"/>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52" w:type="dxa"/>
            <w:tcBorders>
              <w:top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硕博士学历人数占比</w:t>
            </w:r>
          </w:p>
        </w:tc>
        <w:tc>
          <w:tcPr>
            <w:tcW w:w="1401" w:type="dxa"/>
            <w:tcBorders>
              <w:top w:val="single" w:color="auto" w:sz="8" w:space="0"/>
            </w:tcBorders>
            <w:vAlign w:val="center"/>
          </w:tcPr>
          <w:p>
            <w:pPr>
              <w:spacing w:line="240" w:lineRule="auto"/>
              <w:jc w:val="center"/>
              <w:rPr>
                <w:rFonts w:hint="default" w:eastAsia="宋体" w:asciiTheme="minorEastAsia" w:hAnsiTheme="minorEastAsia" w:cstheme="minorEastAsia"/>
                <w:sz w:val="18"/>
                <w:lang w:val="en-US" w:eastAsia="zh-CN"/>
              </w:rPr>
            </w:pPr>
            <w:r>
              <w:rPr>
                <w:rFonts w:hint="eastAsia" w:asciiTheme="minorEastAsia" w:hAnsiTheme="minorEastAsia" w:eastAsiaTheme="minorEastAsia" w:cstheme="minorEastAsia"/>
                <w:sz w:val="18"/>
                <w:szCs w:val="24"/>
                <w:lang w:val="en-US" w:eastAsia="zh-CN"/>
              </w:rPr>
              <w:t>100</w:t>
            </w:r>
          </w:p>
        </w:tc>
        <w:tc>
          <w:tcPr>
            <w:tcW w:w="1786" w:type="dxa"/>
            <w:tcBorders>
              <w:top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0.05</w:t>
            </w:r>
          </w:p>
        </w:tc>
        <w:tc>
          <w:tcPr>
            <w:tcW w:w="2127" w:type="dxa"/>
            <w:tcBorders>
              <w:top w:val="single" w:color="auto" w:sz="8" w:space="0"/>
            </w:tcBorders>
            <w:vAlign w:val="center"/>
          </w:tcPr>
          <w:p>
            <w:pPr>
              <w:spacing w:line="240" w:lineRule="auto"/>
              <w:jc w:val="center"/>
              <w:rPr>
                <w:rFonts w:hint="eastAsia" w:eastAsia="宋体" w:asciiTheme="minorEastAsia" w:hAnsiTheme="minorEastAsia" w:cstheme="minorEastAsia"/>
                <w:sz w:val="18"/>
                <w:lang w:val="en-US" w:eastAsia="zh-CN"/>
              </w:rPr>
            </w:pPr>
            <w:r>
              <w:rPr>
                <w:rFonts w:hint="eastAsia" w:asciiTheme="minorEastAsia" w:hAnsiTheme="minorEastAsia" w:cstheme="minorEastAsia"/>
                <w:sz w:val="18"/>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52"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拥有法律职业资格证人数占比</w:t>
            </w:r>
          </w:p>
        </w:tc>
        <w:tc>
          <w:tcPr>
            <w:tcW w:w="1401" w:type="dxa"/>
            <w:vAlign w:val="center"/>
          </w:tcPr>
          <w:p>
            <w:pPr>
              <w:spacing w:line="240" w:lineRule="auto"/>
              <w:jc w:val="center"/>
              <w:rPr>
                <w:rFonts w:hint="default" w:eastAsia="宋体" w:asciiTheme="minorEastAsia" w:hAnsiTheme="minorEastAsia" w:cstheme="minorEastAsia"/>
                <w:sz w:val="18"/>
                <w:lang w:val="en-US" w:eastAsia="zh-CN"/>
              </w:rPr>
            </w:pPr>
            <w:r>
              <w:rPr>
                <w:rFonts w:hint="eastAsia" w:asciiTheme="minorEastAsia" w:hAnsiTheme="minorEastAsia" w:eastAsiaTheme="minorEastAsia" w:cstheme="minorEastAsia"/>
                <w:sz w:val="18"/>
                <w:szCs w:val="24"/>
                <w:lang w:val="en-US" w:eastAsia="zh-CN"/>
              </w:rPr>
              <w:t>60</w:t>
            </w:r>
          </w:p>
        </w:tc>
        <w:tc>
          <w:tcPr>
            <w:tcW w:w="178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0.05</w:t>
            </w:r>
          </w:p>
        </w:tc>
        <w:tc>
          <w:tcPr>
            <w:tcW w:w="2127"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77" w:hRule="atLeast"/>
          <w:jc w:val="center"/>
        </w:trPr>
        <w:tc>
          <w:tcPr>
            <w:tcW w:w="2752"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w:t>
            </w:r>
          </w:p>
        </w:tc>
        <w:tc>
          <w:tcPr>
            <w:tcW w:w="1401"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cstheme="minorEastAsia"/>
                <w:sz w:val="18"/>
              </w:rPr>
              <w:t>...</w:t>
            </w:r>
          </w:p>
        </w:tc>
        <w:tc>
          <w:tcPr>
            <w:tcW w:w="178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cstheme="minorEastAsia"/>
                <w:sz w:val="18"/>
              </w:rPr>
              <w:t>...</w:t>
            </w:r>
          </w:p>
        </w:tc>
        <w:tc>
          <w:tcPr>
            <w:tcW w:w="2127"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cstheme="minorEastAsia"/>
                <w:sz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52"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代理发明专利申请撤回率</w:t>
            </w:r>
          </w:p>
        </w:tc>
        <w:tc>
          <w:tcPr>
            <w:tcW w:w="1401" w:type="dxa"/>
            <w:vAlign w:val="center"/>
          </w:tcPr>
          <w:p>
            <w:pPr>
              <w:spacing w:line="240" w:lineRule="auto"/>
              <w:jc w:val="center"/>
              <w:rPr>
                <w:rFonts w:hint="default" w:eastAsia="宋体" w:asciiTheme="minorEastAsia" w:hAnsiTheme="minorEastAsia" w:cstheme="minorEastAsia"/>
                <w:sz w:val="18"/>
                <w:lang w:val="en-US" w:eastAsia="zh-CN"/>
              </w:rPr>
            </w:pPr>
            <w:r>
              <w:rPr>
                <w:rFonts w:hint="eastAsia" w:asciiTheme="minorEastAsia" w:hAnsiTheme="minorEastAsia" w:eastAsiaTheme="minorEastAsia" w:cstheme="minorEastAsia"/>
                <w:sz w:val="18"/>
                <w:szCs w:val="24"/>
                <w:lang w:val="en-US" w:eastAsia="zh-CN"/>
              </w:rPr>
              <w:t>80</w:t>
            </w:r>
          </w:p>
        </w:tc>
        <w:tc>
          <w:tcPr>
            <w:tcW w:w="178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0.2</w:t>
            </w:r>
          </w:p>
        </w:tc>
        <w:tc>
          <w:tcPr>
            <w:tcW w:w="2127"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52"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加分项</w:t>
            </w:r>
          </w:p>
        </w:tc>
        <w:tc>
          <w:tcPr>
            <w:tcW w:w="1401"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5</w:t>
            </w:r>
          </w:p>
        </w:tc>
        <w:tc>
          <w:tcPr>
            <w:tcW w:w="178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w:t>
            </w:r>
          </w:p>
        </w:tc>
        <w:tc>
          <w:tcPr>
            <w:tcW w:w="2127"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52"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合计</w:t>
            </w:r>
          </w:p>
        </w:tc>
        <w:tc>
          <w:tcPr>
            <w:tcW w:w="1401"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w:t>
            </w:r>
          </w:p>
        </w:tc>
        <w:tc>
          <w:tcPr>
            <w:tcW w:w="178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1</w:t>
            </w:r>
          </w:p>
        </w:tc>
        <w:tc>
          <w:tcPr>
            <w:tcW w:w="2127"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S=90.34</w:t>
            </w:r>
          </w:p>
        </w:tc>
      </w:tr>
    </w:tbl>
    <w:p>
      <w:pPr>
        <w:pStyle w:val="56"/>
        <w:ind w:firstLine="420"/>
      </w:pPr>
    </w:p>
    <w:p>
      <w:pPr>
        <w:pStyle w:val="105"/>
        <w:spacing w:before="120" w:after="120"/>
      </w:pPr>
      <w:bookmarkStart w:id="87" w:name="_Toc1744385472"/>
      <w:bookmarkStart w:id="88" w:name="_Toc769545951"/>
      <w:bookmarkStart w:id="89" w:name="_Toc1948059358"/>
      <w:r>
        <w:t>结果</w:t>
      </w:r>
      <w:bookmarkEnd w:id="87"/>
      <w:r>
        <w:t>应用</w:t>
      </w:r>
      <w:bookmarkEnd w:id="88"/>
      <w:bookmarkEnd w:id="89"/>
    </w:p>
    <w:p>
      <w:pPr>
        <w:pStyle w:val="109"/>
        <w:numPr>
          <w:ilvl w:val="1"/>
          <w:numId w:val="0"/>
        </w:numPr>
        <w:rPr>
          <w:rFonts w:hint="eastAsia" w:eastAsia="宋体"/>
          <w:lang w:eastAsia="zh-CN"/>
        </w:rPr>
      </w:pPr>
      <w:r>
        <w:rPr>
          <w:rFonts w:hint="eastAsia"/>
          <w:lang w:val="en-US" w:eastAsia="zh-CN"/>
        </w:rPr>
        <w:t xml:space="preserve">7.3.1 </w:t>
      </w:r>
      <w:r>
        <w:t>为各级专利行政主管部门对专利代理机构实施差异化监管提供参考依据</w:t>
      </w:r>
      <w:r>
        <w:rPr>
          <w:rFonts w:hint="eastAsia"/>
          <w:lang w:eastAsia="zh-CN"/>
        </w:rPr>
        <w:t>。</w:t>
      </w:r>
    </w:p>
    <w:p>
      <w:pPr>
        <w:pStyle w:val="109"/>
        <w:numPr>
          <w:ilvl w:val="1"/>
          <w:numId w:val="0"/>
        </w:numPr>
        <w:rPr>
          <w:rFonts w:hint="eastAsia" w:eastAsia="宋体"/>
          <w:lang w:eastAsia="zh-CN"/>
        </w:rPr>
      </w:pPr>
      <w:r>
        <w:rPr>
          <w:rFonts w:hint="eastAsia"/>
          <w:lang w:val="en-US" w:eastAsia="zh-CN"/>
        </w:rPr>
        <w:t xml:space="preserve">7.3.2 </w:t>
      </w:r>
      <w:r>
        <w:t>作为行业主管部门或相关组织开展典型案例推荐、评选活动的参考条件</w:t>
      </w:r>
      <w:r>
        <w:rPr>
          <w:rFonts w:hint="eastAsia"/>
          <w:lang w:eastAsia="zh-CN"/>
        </w:rPr>
        <w:t>。</w:t>
      </w:r>
    </w:p>
    <w:p>
      <w:pPr>
        <w:pStyle w:val="109"/>
        <w:numPr>
          <w:ilvl w:val="1"/>
          <w:numId w:val="0"/>
        </w:numPr>
      </w:pPr>
      <w:r>
        <w:rPr>
          <w:rFonts w:hint="eastAsia"/>
          <w:lang w:val="en-US" w:eastAsia="zh-CN"/>
        </w:rPr>
        <w:t xml:space="preserve">7.3.3 </w:t>
      </w:r>
      <w:r>
        <w:t>评价工作组可根据实际工作需要，在相关管理规定中明确评价结果的其他具体用途。</w:t>
      </w:r>
    </w:p>
    <w:p>
      <w:pPr>
        <w:pStyle w:val="105"/>
        <w:spacing w:before="120" w:after="120"/>
      </w:pPr>
      <w:bookmarkStart w:id="90" w:name="_Toc205649086"/>
      <w:bookmarkStart w:id="91" w:name="_Toc1287387008"/>
      <w:bookmarkStart w:id="92" w:name="_Toc735758066"/>
      <w:r>
        <w:t>异议</w:t>
      </w:r>
      <w:bookmarkEnd w:id="90"/>
      <w:bookmarkEnd w:id="91"/>
      <w:bookmarkEnd w:id="92"/>
    </w:p>
    <w:p>
      <w:pPr>
        <w:pStyle w:val="165"/>
      </w:pPr>
      <w:r>
        <w:t>对评价结论有异议的，应向评价工作组提出书面异议材料以及署名其姓名和工作单位的相关证明材料，并附具异议人姓名、工作单位等署名信息及相关证明材料。</w:t>
      </w:r>
    </w:p>
    <w:p>
      <w:pPr>
        <w:pStyle w:val="165"/>
      </w:pPr>
      <w:r>
        <w:t>收到异议后，</w:t>
      </w:r>
      <w:r>
        <w:rPr>
          <w:rFonts w:hint="eastAsia"/>
          <w:lang w:eastAsia="zh-CN"/>
        </w:rPr>
        <w:t>评价工作组</w:t>
      </w:r>
      <w:r>
        <w:t>应及时作出答复，并依据异议内容决定是否重新组织评价。</w:t>
      </w:r>
    </w:p>
    <w:p>
      <w:pPr>
        <w:pStyle w:val="165"/>
      </w:pPr>
      <w:r>
        <w:t>异议人提出申诉的，应自行提供相关数据及可靠来源的证明材料。评价工作</w:t>
      </w:r>
      <w:r>
        <w:rPr>
          <w:rFonts w:hint="eastAsia"/>
          <w:lang w:eastAsia="zh-CN"/>
        </w:rPr>
        <w:t>组</w:t>
      </w:r>
      <w:r>
        <w:t>对申诉材料核验后，可据此重新开展评价工作。</w:t>
      </w:r>
    </w:p>
    <w:p>
      <w:pPr>
        <w:pStyle w:val="104"/>
        <w:spacing w:before="240" w:after="240"/>
      </w:pPr>
      <w:bookmarkStart w:id="93" w:name="_Toc1809556824"/>
      <w:bookmarkStart w:id="94" w:name="_Toc60698486"/>
      <w:bookmarkStart w:id="95" w:name="_Toc1983275147"/>
      <w:bookmarkStart w:id="96" w:name="_Toc39600446"/>
      <w:r>
        <w:t>标志</w:t>
      </w:r>
      <w:bookmarkEnd w:id="93"/>
      <w:bookmarkEnd w:id="94"/>
      <w:r>
        <w:t>使用</w:t>
      </w:r>
      <w:bookmarkEnd w:id="95"/>
      <w:bookmarkEnd w:id="96"/>
    </w:p>
    <w:p>
      <w:pPr>
        <w:pStyle w:val="105"/>
        <w:spacing w:before="120" w:after="120"/>
      </w:pPr>
      <w:bookmarkStart w:id="97" w:name="_Toc1475232982"/>
      <w:r>
        <w:rPr>
          <w:rFonts w:hint="eastAsia"/>
          <w:lang w:eastAsia="zh-CN"/>
        </w:rPr>
        <w:t>使用途径</w:t>
      </w:r>
      <w:bookmarkEnd w:id="97"/>
    </w:p>
    <w:p>
      <w:pPr>
        <w:pStyle w:val="165"/>
      </w:pPr>
      <w:bookmarkStart w:id="98" w:name="_Toc2035073378"/>
      <w:r>
        <w:t>专利代理机构能力无感评价等级标志</w:t>
      </w:r>
      <w:r>
        <w:rPr>
          <w:rFonts w:hint="eastAsia"/>
          <w:lang w:val="en-US" w:eastAsia="zh-CN"/>
        </w:rPr>
        <w:t>用于宣传时应使用客观表述，</w:t>
      </w:r>
      <w:r>
        <w:t>不得</w:t>
      </w:r>
      <w:r>
        <w:rPr>
          <w:rFonts w:hint="eastAsia"/>
          <w:lang w:eastAsia="zh-CN"/>
        </w:rPr>
        <w:t>使用</w:t>
      </w:r>
      <w:r>
        <w:t>误导</w:t>
      </w:r>
      <w:r>
        <w:rPr>
          <w:rFonts w:hint="eastAsia"/>
          <w:lang w:eastAsia="zh-CN"/>
        </w:rPr>
        <w:t>性表述；</w:t>
      </w:r>
      <w:r>
        <w:t>对外展示时，应严格以公示的等级</w:t>
      </w:r>
      <w:r>
        <w:rPr>
          <w:rFonts w:hint="eastAsia"/>
          <w:lang w:eastAsia="zh-CN"/>
        </w:rPr>
        <w:t>标志</w:t>
      </w:r>
      <w:r>
        <w:t>为准，不得自行创设等级体系或</w:t>
      </w:r>
      <w:r>
        <w:rPr>
          <w:rFonts w:hint="eastAsia"/>
        </w:rPr>
        <w:t>将地方性、行业性的评级与</w:t>
      </w:r>
      <w:r>
        <w:rPr>
          <w:rFonts w:hint="eastAsia"/>
          <w:lang w:eastAsia="zh-CN"/>
        </w:rPr>
        <w:t>本标准的</w:t>
      </w:r>
      <w:r>
        <w:rPr>
          <w:rFonts w:hint="eastAsia"/>
        </w:rPr>
        <w:t>公示等级混淆</w:t>
      </w:r>
      <w:r>
        <w:rPr>
          <w:rFonts w:hint="eastAsia"/>
          <w:lang w:eastAsia="zh-CN"/>
        </w:rPr>
        <w:t>以及进行其他的</w:t>
      </w:r>
      <w:r>
        <w:t>虚假宣传</w:t>
      </w:r>
      <w:r>
        <w:rPr>
          <w:rFonts w:hint="eastAsia"/>
          <w:lang w:eastAsia="zh-CN"/>
        </w:rPr>
        <w:t>行为</w:t>
      </w:r>
      <w:r>
        <w:t>。</w:t>
      </w:r>
      <w:bookmarkEnd w:id="98"/>
    </w:p>
    <w:p>
      <w:pPr>
        <w:pStyle w:val="165"/>
      </w:pPr>
      <w:r>
        <w:t>在宣传中，不得使用“国家级”、“最高级”、“最佳”等绝对化用于来暗示评价等级的权威性或唯一性。</w:t>
      </w:r>
    </w:p>
    <w:p>
      <w:pPr>
        <w:pStyle w:val="165"/>
      </w:pPr>
      <w:r>
        <w:t>严禁将高等级评价与“包授权”、“高授权率”等服务结果承诺捆绑宣传。</w:t>
      </w:r>
    </w:p>
    <w:p>
      <w:pPr>
        <w:pStyle w:val="165"/>
      </w:pPr>
      <w:r>
        <w:t>不得利用自身较高的评价等级，进行与其他机构的比较性宣传，或对其他机构进行负面评价。</w:t>
      </w:r>
    </w:p>
    <w:p>
      <w:pPr>
        <w:pStyle w:val="165"/>
      </w:pPr>
      <w:r>
        <w:t>如果机构正处于经营异常名录、受到行政处罚期间或受行业惩戒未满一年，在此期间不得在大众传播媒介发布任何包含其评价信息的广告。</w:t>
      </w:r>
    </w:p>
    <w:p>
      <w:pPr>
        <w:pStyle w:val="105"/>
        <w:spacing w:before="120" w:after="120"/>
      </w:pPr>
      <w:bookmarkStart w:id="99" w:name="_Toc2099224348"/>
      <w:bookmarkStart w:id="100" w:name="_Toc823564701"/>
      <w:bookmarkStart w:id="101" w:name="_Toc1826224559"/>
      <w:r>
        <w:rPr>
          <w:rFonts w:hint="eastAsia"/>
          <w:lang w:eastAsia="zh-CN"/>
        </w:rPr>
        <w:t>取消评级</w:t>
      </w:r>
      <w:bookmarkEnd w:id="99"/>
      <w:bookmarkEnd w:id="100"/>
    </w:p>
    <w:p>
      <w:pPr>
        <w:pStyle w:val="165"/>
        <w:keepNext w:val="0"/>
        <w:keepLines w:val="0"/>
        <w:pageBreakBefore w:val="0"/>
        <w:widowControl w:val="0"/>
        <w:numPr>
          <w:ilvl w:val="3"/>
          <w:numId w:val="0"/>
        </w:numPr>
        <w:kinsoku/>
        <w:wordWrap/>
        <w:overflowPunct/>
        <w:topLinePunct w:val="0"/>
        <w:autoSpaceDE/>
        <w:autoSpaceDN/>
        <w:bidi w:val="0"/>
        <w:adjustRightInd/>
        <w:snapToGrid/>
        <w:ind w:leftChars="0" w:firstLine="420" w:firstLineChars="200"/>
        <w:textAlignment w:val="auto"/>
      </w:pPr>
      <w:r>
        <w:t>当专利代理机构出现</w:t>
      </w:r>
      <w:r>
        <w:rPr>
          <w:rFonts w:hint="eastAsia"/>
          <w:lang w:eastAsia="zh-CN"/>
        </w:rPr>
        <w:t>不良执业行为</w:t>
      </w:r>
      <w:r>
        <w:t>时，会被取消评价等级标志</w:t>
      </w:r>
      <w:r>
        <w:rPr>
          <w:rFonts w:hint="eastAsia"/>
          <w:lang w:eastAsia="zh-CN"/>
        </w:rPr>
        <w:t>并进行行业公示，包括但不限于</w:t>
      </w:r>
      <w:r>
        <w:t>以下行为：</w:t>
      </w:r>
    </w:p>
    <w:p>
      <w:pPr>
        <w:pStyle w:val="165"/>
        <w:keepNext w:val="0"/>
        <w:keepLines w:val="0"/>
        <w:pageBreakBefore w:val="0"/>
        <w:widowControl w:val="0"/>
        <w:numPr>
          <w:ilvl w:val="3"/>
          <w:numId w:val="0"/>
        </w:numPr>
        <w:kinsoku/>
        <w:wordWrap/>
        <w:overflowPunct/>
        <w:topLinePunct w:val="0"/>
        <w:autoSpaceDE/>
        <w:autoSpaceDN/>
        <w:bidi w:val="0"/>
        <w:adjustRightInd/>
        <w:snapToGrid/>
        <w:ind w:leftChars="0" w:firstLine="420" w:firstLineChars="200"/>
        <w:textAlignment w:val="auto"/>
      </w:pPr>
      <w:r>
        <w:rPr>
          <w:rFonts w:hint="eastAsia"/>
          <w:lang w:eastAsia="zh-CN"/>
        </w:rPr>
        <w:t>（</w:t>
      </w:r>
      <w:r>
        <w:rPr>
          <w:rFonts w:hint="eastAsia"/>
          <w:lang w:val="en-US" w:eastAsia="zh-CN"/>
        </w:rPr>
        <w:t>1</w:t>
      </w:r>
      <w:r>
        <w:rPr>
          <w:rFonts w:hint="eastAsia"/>
          <w:lang w:eastAsia="zh-CN"/>
        </w:rPr>
        <w:t>）</w:t>
      </w:r>
      <w:r>
        <w:t>不规范经营或执业行为：例如，未按规定办理变更手续、疏于管理造成</w:t>
      </w:r>
      <w:r>
        <w:rPr>
          <w:rFonts w:hint="eastAsia"/>
          <w:lang w:eastAsia="zh-CN"/>
        </w:rPr>
        <w:t>严重不良</w:t>
      </w:r>
      <w:r>
        <w:t>后果等；</w:t>
      </w:r>
    </w:p>
    <w:p>
      <w:pPr>
        <w:pStyle w:val="109"/>
        <w:keepNext w:val="0"/>
        <w:keepLines w:val="0"/>
        <w:pageBreakBefore w:val="0"/>
        <w:widowControl/>
        <w:numPr>
          <w:ilvl w:val="1"/>
          <w:numId w:val="0"/>
        </w:numPr>
        <w:kinsoku/>
        <w:wordWrap/>
        <w:overflowPunct/>
        <w:topLinePunct w:val="0"/>
        <w:autoSpaceDE/>
        <w:autoSpaceDN/>
        <w:bidi w:val="0"/>
        <w:adjustRightInd/>
        <w:snapToGrid/>
        <w:ind w:leftChars="200"/>
        <w:textAlignment w:val="auto"/>
      </w:pPr>
      <w:r>
        <w:rPr>
          <w:rFonts w:hint="eastAsia"/>
        </w:rPr>
        <w:t>（</w:t>
      </w:r>
      <w:r>
        <w:rPr>
          <w:rFonts w:hint="eastAsia"/>
          <w:lang w:val="en-US" w:eastAsia="zh-CN"/>
        </w:rPr>
        <w:t>2</w:t>
      </w:r>
      <w:r>
        <w:rPr>
          <w:rFonts w:hint="eastAsia"/>
        </w:rPr>
        <w:t>）</w:t>
      </w:r>
      <w:r>
        <w:t>机构经营异常：例如，被市场监管部门列入经营异常名录；</w:t>
      </w:r>
    </w:p>
    <w:p>
      <w:pPr>
        <w:pStyle w:val="109"/>
        <w:keepNext w:val="0"/>
        <w:keepLines w:val="0"/>
        <w:pageBreakBefore w:val="0"/>
        <w:widowControl/>
        <w:numPr>
          <w:ilvl w:val="1"/>
          <w:numId w:val="0"/>
        </w:numPr>
        <w:kinsoku/>
        <w:wordWrap/>
        <w:overflowPunct/>
        <w:topLinePunct w:val="0"/>
        <w:autoSpaceDE/>
        <w:autoSpaceDN/>
        <w:bidi w:val="0"/>
        <w:adjustRightInd/>
        <w:snapToGrid/>
        <w:ind w:leftChars="200"/>
        <w:textAlignment w:val="auto"/>
      </w:pPr>
      <w:r>
        <w:rPr>
          <w:rFonts w:hint="eastAsia"/>
        </w:rPr>
        <w:t>（</w:t>
      </w:r>
      <w:r>
        <w:rPr>
          <w:rFonts w:hint="eastAsia"/>
          <w:lang w:val="en-US" w:eastAsia="zh-CN"/>
        </w:rPr>
        <w:t>3</w:t>
      </w:r>
      <w:r>
        <w:rPr>
          <w:rFonts w:hint="eastAsia"/>
        </w:rPr>
        <w:t>）</w:t>
      </w:r>
      <w:r>
        <w:t>受到行政或刑事处罚：被处以警告、罚款等行政处罚，或涉及刑事犯罪；</w:t>
      </w:r>
    </w:p>
    <w:p>
      <w:pPr>
        <w:pStyle w:val="109"/>
        <w:keepNext w:val="0"/>
        <w:keepLines w:val="0"/>
        <w:pageBreakBefore w:val="0"/>
        <w:widowControl/>
        <w:numPr>
          <w:ilvl w:val="1"/>
          <w:numId w:val="0"/>
        </w:numPr>
        <w:kinsoku/>
        <w:wordWrap/>
        <w:overflowPunct/>
        <w:topLinePunct w:val="0"/>
        <w:autoSpaceDE/>
        <w:autoSpaceDN/>
        <w:bidi w:val="0"/>
        <w:adjustRightInd/>
        <w:snapToGrid/>
        <w:ind w:leftChars="200"/>
        <w:textAlignment w:val="auto"/>
        <w:rPr>
          <w:rFonts w:hint="eastAsia"/>
          <w:lang w:eastAsia="zh-CN"/>
        </w:rPr>
      </w:pPr>
      <w:r>
        <w:rPr>
          <w:rFonts w:hint="eastAsia"/>
        </w:rPr>
        <w:t>（</w:t>
      </w:r>
      <w:r>
        <w:rPr>
          <w:rFonts w:hint="eastAsia"/>
          <w:lang w:val="en-US" w:eastAsia="zh-CN"/>
        </w:rPr>
        <w:t>4</w:t>
      </w:r>
      <w:r>
        <w:rPr>
          <w:rFonts w:hint="eastAsia"/>
        </w:rPr>
        <w:t>）</w:t>
      </w:r>
      <w:r>
        <w:t>受到行业惩戒：受到中华全国专利代理师协会的行业纪律处分</w:t>
      </w:r>
      <w:bookmarkEnd w:id="101"/>
      <w:r>
        <w:rPr>
          <w:rFonts w:hint="eastAsia"/>
          <w:lang w:eastAsia="zh-CN"/>
        </w:rPr>
        <w:t>；</w:t>
      </w:r>
    </w:p>
    <w:p>
      <w:pPr>
        <w:pStyle w:val="109"/>
        <w:keepNext w:val="0"/>
        <w:keepLines w:val="0"/>
        <w:pageBreakBefore w:val="0"/>
        <w:widowControl/>
        <w:numPr>
          <w:ilvl w:val="1"/>
          <w:numId w:val="0"/>
        </w:numPr>
        <w:kinsoku/>
        <w:wordWrap/>
        <w:overflowPunct/>
        <w:topLinePunct w:val="0"/>
        <w:autoSpaceDE/>
        <w:autoSpaceDN/>
        <w:bidi w:val="0"/>
        <w:adjustRightInd/>
        <w:snapToGrid/>
        <w:ind w:leftChars="200"/>
        <w:textAlignment w:val="auto"/>
        <w:rPr>
          <w:rFonts w:hint="eastAsia"/>
          <w:lang w:eastAsia="zh-CN"/>
        </w:rPr>
        <w:sectPr>
          <w:pgSz w:w="11906" w:h="16838"/>
          <w:pgMar w:top="1928" w:right="1134" w:bottom="1134" w:left="1134" w:header="1418" w:footer="1134" w:gutter="284"/>
          <w:pgBorders>
            <w:top w:val="none" w:sz="0" w:space="0"/>
            <w:left w:val="none" w:sz="0" w:space="0"/>
            <w:bottom w:val="none" w:sz="0" w:space="0"/>
            <w:right w:val="none" w:sz="0" w:space="0"/>
          </w:pgBorders>
          <w:cols w:space="425" w:num="1"/>
          <w:formProt w:val="0"/>
          <w:docGrid w:linePitch="312" w:charSpace="0"/>
        </w:sectPr>
      </w:pPr>
      <w:r>
        <w:rPr>
          <w:rFonts w:hint="eastAsia"/>
          <w:lang w:eastAsia="zh-CN"/>
        </w:rPr>
        <w:t>（</w:t>
      </w:r>
      <w:r>
        <w:rPr>
          <w:rFonts w:hint="eastAsia"/>
          <w:lang w:val="en-US" w:eastAsia="zh-CN"/>
        </w:rPr>
        <w:t>5</w:t>
      </w:r>
      <w:r>
        <w:rPr>
          <w:rFonts w:hint="eastAsia"/>
          <w:lang w:eastAsia="zh-CN"/>
        </w:rPr>
        <w:t>）其他严重不良执业行为。</w:t>
      </w:r>
    </w:p>
    <w:p/>
    <w:bookmarkEnd w:id="25"/>
    <w:p>
      <w:pPr>
        <w:pStyle w:val="198"/>
        <w:rPr>
          <w:rFonts w:hint="eastAsia"/>
        </w:rPr>
      </w:pPr>
      <w:bookmarkStart w:id="102" w:name="BookMark5"/>
    </w:p>
    <w:p>
      <w:pPr>
        <w:pStyle w:val="199"/>
      </w:pPr>
    </w:p>
    <w:p>
      <w:pPr>
        <w:pStyle w:val="76"/>
        <w:spacing w:after="120"/>
        <w:jc w:val="center"/>
      </w:pPr>
      <w:bookmarkStart w:id="103" w:name="_Toc792515782"/>
      <w:r>
        <w:br w:type="textWrapping"/>
      </w:r>
      <w:r>
        <w:rPr>
          <w:rFonts w:hint="eastAsia"/>
        </w:rPr>
        <w:t>（规范性）</w:t>
      </w:r>
      <w:r>
        <w:br w:type="textWrapping"/>
      </w:r>
      <w:r>
        <w:rPr>
          <w:rFonts w:hint="eastAsia"/>
        </w:rPr>
        <w:t>专利代理机构能力无感评价分值计算方法表</w:t>
      </w:r>
      <w:bookmarkEnd w:id="103"/>
    </w:p>
    <w:tbl>
      <w:tblPr>
        <w:tblStyle w:val="2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1760"/>
        <w:gridCol w:w="6171"/>
        <w:gridCol w:w="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bookmarkStart w:id="104" w:name="OLE_LINK24"/>
            <w:r>
              <w:rPr>
                <w:rFonts w:ascii="宋体" w:hAnsi="宋体" w:cs="宋体"/>
              </w:rPr>
              <w:t>一级指标</w:t>
            </w: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二级</w:t>
            </w:r>
          </w:p>
          <w:p>
            <w:pPr>
              <w:adjustRightInd/>
              <w:spacing w:line="240" w:lineRule="auto"/>
              <w:jc w:val="center"/>
              <w:rPr>
                <w:rFonts w:hint="eastAsia" w:ascii="宋体" w:hAnsi="宋体" w:cs="宋体"/>
              </w:rPr>
            </w:pPr>
            <w:r>
              <w:rPr>
                <w:rFonts w:ascii="宋体" w:hAnsi="宋体" w:cs="宋体"/>
              </w:rPr>
              <w:t>指标</w:t>
            </w: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指标详情</w:t>
            </w: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权重W</w:t>
            </w:r>
            <w:r>
              <w:rPr>
                <w:rFonts w:ascii="宋体" w:hAnsi="宋体" w:cs="宋体"/>
                <w:vertAlign w:val="subscript"/>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0" w:type="auto"/>
            <w:vMerge w:val="restart"/>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服务</w:t>
            </w:r>
          </w:p>
          <w:p>
            <w:pPr>
              <w:adjustRightInd/>
              <w:spacing w:line="240" w:lineRule="auto"/>
              <w:jc w:val="center"/>
              <w:rPr>
                <w:rFonts w:hint="eastAsia" w:ascii="宋体" w:hAnsi="宋体" w:cs="宋体"/>
              </w:rPr>
            </w:pPr>
            <w:r>
              <w:rPr>
                <w:rFonts w:ascii="宋体" w:hAnsi="宋体" w:cs="宋体"/>
              </w:rPr>
              <w:t>能力A</w:t>
            </w: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硕博士学历人数占比A1</w:t>
            </w: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left"/>
              <w:rPr>
                <w:rFonts w:hint="eastAsia" w:ascii="宋体" w:hAnsi="宋体" w:cs="宋体"/>
              </w:rPr>
            </w:pPr>
            <w:r>
              <w:rPr>
                <w:rFonts w:ascii="宋体" w:hAnsi="宋体" w:cs="宋体"/>
              </w:rPr>
              <w:t>指标说明：专利代理机构执业的专利代理师中，学历为硕士及以上人数占总执业代理师人数的比例。</w:t>
            </w:r>
          </w:p>
          <w:p>
            <w:pPr>
              <w:adjustRightInd/>
              <w:spacing w:line="240" w:lineRule="auto"/>
              <w:jc w:val="left"/>
              <w:rPr>
                <w:rFonts w:hint="eastAsia" w:ascii="宋体" w:hAnsi="宋体" w:cs="宋体"/>
              </w:rPr>
            </w:pPr>
            <w:r>
              <w:rPr>
                <w:rFonts w:ascii="宋体" w:hAnsi="宋体" w:cs="宋体"/>
              </w:rPr>
              <w:t>数据来源：学信网、中华全国专利代理师协会。</w:t>
            </w:r>
          </w:p>
        </w:tc>
        <w:tc>
          <w:tcPr>
            <w:tcW w:w="0" w:type="auto"/>
            <w:vMerge w:val="restart"/>
            <w:tcBorders>
              <w:top w:val="nil"/>
              <w:left w:val="nil"/>
              <w:right w:val="single" w:color="auto" w:sz="4" w:space="0"/>
            </w:tcBorders>
            <w:vAlign w:val="center"/>
          </w:tcPr>
          <w:p>
            <w:pPr>
              <w:adjustRightInd/>
              <w:spacing w:line="240" w:lineRule="auto"/>
              <w:jc w:val="center"/>
              <w:rPr>
                <w:rFonts w:ascii="宋体" w:hAnsi="宋体" w:cs="宋体"/>
              </w:rPr>
            </w:pPr>
          </w:p>
          <w:p>
            <w:pPr>
              <w:adjustRightInd/>
              <w:spacing w:line="240" w:lineRule="auto"/>
              <w:jc w:val="center"/>
              <w:rPr>
                <w:rFonts w:ascii="宋体" w:hAnsi="宋体" w:cs="宋体"/>
              </w:rPr>
            </w:pPr>
          </w:p>
          <w:p>
            <w:pPr>
              <w:adjustRightInd/>
              <w:spacing w:line="240" w:lineRule="auto"/>
              <w:jc w:val="center"/>
              <w:rPr>
                <w:rFonts w:ascii="宋体" w:hAnsi="宋体" w:cs="宋体"/>
              </w:rPr>
            </w:pPr>
          </w:p>
          <w:p>
            <w:pPr>
              <w:adjustRightInd/>
              <w:spacing w:line="240" w:lineRule="auto"/>
              <w:jc w:val="center"/>
              <w:rPr>
                <w:rFonts w:ascii="宋体" w:hAnsi="宋体" w:cs="宋体"/>
              </w:rPr>
            </w:pPr>
          </w:p>
          <w:p>
            <w:pPr>
              <w:adjustRightInd/>
              <w:spacing w:line="240" w:lineRule="auto"/>
              <w:jc w:val="center"/>
              <w:rPr>
                <w:rFonts w:ascii="宋体" w:hAnsi="宋体" w:cs="宋体"/>
              </w:rPr>
            </w:pPr>
          </w:p>
          <w:p>
            <w:pPr>
              <w:adjustRightInd/>
              <w:spacing w:line="240" w:lineRule="auto"/>
              <w:jc w:val="center"/>
              <w:rPr>
                <w:rFonts w:hint="eastAsia" w:ascii="宋体" w:hAnsi="宋体" w:cs="宋体"/>
              </w:rPr>
            </w:pPr>
            <w:r>
              <w:rPr>
                <w:rFonts w:ascii="宋体" w:hAnsi="宋体" w:cs="宋体"/>
              </w:rPr>
              <w:t>权重每年修改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拥有法律</w:t>
            </w:r>
            <w:r>
              <w:rPr>
                <w:rFonts w:hint="eastAsia" w:ascii="宋体" w:hAnsi="宋体" w:cs="宋体"/>
                <w:lang w:eastAsia="zh-CN"/>
              </w:rPr>
              <w:t>职业</w:t>
            </w:r>
            <w:r>
              <w:rPr>
                <w:rFonts w:ascii="宋体" w:hAnsi="宋体" w:cs="宋体"/>
              </w:rPr>
              <w:t>资格证人数占比A2</w:t>
            </w: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left"/>
              <w:rPr>
                <w:rFonts w:hint="eastAsia" w:ascii="宋体" w:hAnsi="宋体" w:cs="宋体"/>
              </w:rPr>
            </w:pPr>
            <w:r>
              <w:rPr>
                <w:rFonts w:ascii="宋体" w:hAnsi="宋体" w:cs="宋体"/>
              </w:rPr>
              <w:t>指标说明：</w:t>
            </w:r>
            <w:r>
              <w:rPr>
                <w:rFonts w:hint="eastAsia" w:ascii="宋体" w:hAnsi="宋体" w:cs="宋体"/>
              </w:rPr>
              <w:t>专利代理机构执业的专利代理师中</w:t>
            </w:r>
            <w:r>
              <w:rPr>
                <w:rFonts w:hint="eastAsia" w:ascii="宋体" w:hAnsi="宋体" w:cs="宋体"/>
                <w:lang w:eastAsia="zh-CN"/>
              </w:rPr>
              <w:t>，</w:t>
            </w:r>
            <w:r>
              <w:rPr>
                <w:rFonts w:ascii="宋体" w:hAnsi="宋体" w:cs="宋体"/>
              </w:rPr>
              <w:t>取得</w:t>
            </w:r>
            <w:r>
              <w:rPr>
                <w:rFonts w:hint="eastAsia" w:ascii="宋体" w:hAnsi="宋体" w:cs="宋体"/>
              </w:rPr>
              <w:t>国家司法部</w:t>
            </w:r>
            <w:r>
              <w:rPr>
                <w:rFonts w:hint="eastAsia" w:ascii="宋体" w:hAnsi="宋体" w:cs="宋体"/>
                <w:lang w:eastAsia="zh-CN"/>
              </w:rPr>
              <w:t>统一颁发的</w:t>
            </w:r>
            <w:r>
              <w:rPr>
                <w:rFonts w:ascii="宋体" w:hAnsi="宋体" w:cs="宋体"/>
              </w:rPr>
              <w:t>法律职业资格证书的人数占</w:t>
            </w:r>
            <w:r>
              <w:rPr>
                <w:rFonts w:hint="eastAsia" w:ascii="宋体" w:hAnsi="宋体" w:cs="宋体"/>
                <w:lang w:eastAsia="zh-CN"/>
              </w:rPr>
              <w:t>总执业代理师人数</w:t>
            </w:r>
            <w:r>
              <w:rPr>
                <w:rFonts w:ascii="宋体" w:hAnsi="宋体" w:cs="宋体"/>
              </w:rPr>
              <w:t>的比例。</w:t>
            </w:r>
          </w:p>
          <w:p>
            <w:pPr>
              <w:adjustRightInd/>
              <w:spacing w:line="240" w:lineRule="auto"/>
              <w:jc w:val="left"/>
              <w:rPr>
                <w:rFonts w:hint="eastAsia" w:ascii="宋体" w:hAnsi="宋体" w:cs="宋体"/>
              </w:rPr>
            </w:pPr>
            <w:r>
              <w:rPr>
                <w:rFonts w:ascii="宋体" w:hAnsi="宋体" w:cs="宋体"/>
              </w:rPr>
              <w:t>数据来源：国家知识产权局。</w:t>
            </w:r>
          </w:p>
        </w:tc>
        <w:tc>
          <w:tcPr>
            <w:tcW w:w="0" w:type="auto"/>
            <w:vMerge w:val="continue"/>
            <w:tcBorders>
              <w:left w:val="nil"/>
              <w:right w:val="single" w:color="auto" w:sz="4" w:space="0"/>
            </w:tcBorders>
            <w:vAlign w:val="center"/>
          </w:tcPr>
          <w:p>
            <w:pPr>
              <w:adjustRightInd/>
              <w:spacing w:line="240" w:lineRule="auto"/>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具有诉讼代理人资格人数占比A3</w:t>
            </w: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left"/>
              <w:rPr>
                <w:rFonts w:hint="eastAsia" w:ascii="宋体" w:hAnsi="宋体" w:cs="宋体"/>
              </w:rPr>
            </w:pPr>
            <w:r>
              <w:rPr>
                <w:rFonts w:ascii="宋体" w:hAnsi="宋体" w:cs="宋体"/>
              </w:rPr>
              <w:t>指标说明：</w:t>
            </w:r>
            <w:r>
              <w:rPr>
                <w:rFonts w:hint="eastAsia" w:ascii="宋体" w:hAnsi="宋体" w:cs="宋体"/>
              </w:rPr>
              <w:t>专利代理机构执业的专利代理师中，</w:t>
            </w:r>
            <w:r>
              <w:rPr>
                <w:rFonts w:hint="eastAsia" w:ascii="宋体" w:hAnsi="宋体" w:cs="宋体"/>
                <w:lang w:eastAsia="zh-CN"/>
              </w:rPr>
              <w:t>被</w:t>
            </w:r>
            <w:r>
              <w:rPr>
                <w:rFonts w:ascii="宋体" w:hAnsi="宋体" w:cs="宋体"/>
              </w:rPr>
              <w:t>中华全国专利代理师协会列入诉讼代理人名册的专利代理师</w:t>
            </w:r>
            <w:r>
              <w:rPr>
                <w:rFonts w:hint="eastAsia" w:ascii="宋体" w:hAnsi="宋体" w:cs="宋体"/>
                <w:lang w:eastAsia="zh-CN"/>
              </w:rPr>
              <w:t>人数</w:t>
            </w:r>
            <w:r>
              <w:rPr>
                <w:rFonts w:hint="eastAsia" w:ascii="宋体" w:hAnsi="宋体" w:cs="宋体"/>
              </w:rPr>
              <w:t>占总执业代理师人数的比例。</w:t>
            </w:r>
          </w:p>
          <w:p>
            <w:pPr>
              <w:adjustRightInd/>
              <w:spacing w:line="240" w:lineRule="auto"/>
              <w:jc w:val="left"/>
              <w:rPr>
                <w:rFonts w:hint="eastAsia" w:ascii="宋体" w:hAnsi="宋体" w:cs="宋体"/>
              </w:rPr>
            </w:pPr>
            <w:r>
              <w:rPr>
                <w:rFonts w:ascii="宋体" w:hAnsi="宋体" w:cs="宋体"/>
              </w:rPr>
              <w:t>数据来源：中华全国专利代理师协会。</w:t>
            </w:r>
          </w:p>
        </w:tc>
        <w:tc>
          <w:tcPr>
            <w:tcW w:w="0" w:type="auto"/>
            <w:vMerge w:val="continue"/>
            <w:tcBorders>
              <w:left w:val="nil"/>
              <w:right w:val="single" w:color="auto" w:sz="4" w:space="0"/>
            </w:tcBorders>
            <w:vAlign w:val="center"/>
          </w:tcPr>
          <w:p>
            <w:pPr>
              <w:adjustRightInd/>
              <w:spacing w:line="240" w:lineRule="auto"/>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0" w:type="auto"/>
            <w:vMerge w:val="restart"/>
            <w:tcBorders>
              <w:top w:val="nil"/>
              <w:left w:val="single" w:color="auto" w:sz="4" w:space="0"/>
              <w:right w:val="single" w:color="auto" w:sz="4" w:space="0"/>
            </w:tcBorders>
            <w:vAlign w:val="center"/>
          </w:tcPr>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r>
              <w:rPr>
                <w:rFonts w:ascii="宋体" w:hAnsi="宋体" w:cs="宋体"/>
              </w:rPr>
              <w:t>执业</w:t>
            </w:r>
          </w:p>
          <w:p>
            <w:pPr>
              <w:adjustRightInd/>
              <w:spacing w:line="240" w:lineRule="auto"/>
              <w:jc w:val="center"/>
              <w:rPr>
                <w:rFonts w:hint="eastAsia" w:ascii="宋体" w:hAnsi="宋体" w:cs="宋体"/>
              </w:rPr>
            </w:pPr>
            <w:r>
              <w:rPr>
                <w:rFonts w:ascii="宋体" w:hAnsi="宋体" w:cs="宋体"/>
              </w:rPr>
              <w:t>能力B</w:t>
            </w: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hint="eastAsia" w:ascii="宋体" w:hAnsi="宋体" w:cs="宋体"/>
              </w:rPr>
              <w:t>代理发明</w:t>
            </w:r>
          </w:p>
          <w:p>
            <w:pPr>
              <w:adjustRightInd/>
              <w:spacing w:line="240" w:lineRule="auto"/>
              <w:jc w:val="center"/>
              <w:rPr>
                <w:rFonts w:hint="eastAsia" w:ascii="宋体" w:hAnsi="宋体" w:eastAsia="宋体" w:cs="宋体"/>
                <w:lang w:eastAsia="zh-CN"/>
              </w:rPr>
            </w:pPr>
            <w:r>
              <w:rPr>
                <w:rFonts w:hint="eastAsia" w:ascii="宋体" w:hAnsi="宋体" w:cs="宋体"/>
              </w:rPr>
              <w:t>专利申请量B</w:t>
            </w:r>
            <w:r>
              <w:rPr>
                <w:rFonts w:hint="eastAsia" w:ascii="宋体" w:hAnsi="宋体" w:cs="宋体"/>
                <w:lang w:val="en-US" w:eastAsia="zh-CN"/>
              </w:rPr>
              <w:t>1</w:t>
            </w: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left"/>
              <w:rPr>
                <w:rFonts w:ascii="宋体" w:hAnsi="宋体" w:cs="宋体"/>
              </w:rPr>
            </w:pPr>
          </w:p>
          <w:p>
            <w:pPr>
              <w:adjustRightInd/>
              <w:spacing w:line="240" w:lineRule="auto"/>
              <w:jc w:val="left"/>
              <w:rPr>
                <w:rFonts w:hint="eastAsia" w:ascii="宋体" w:hAnsi="宋体" w:cs="宋体"/>
              </w:rPr>
            </w:pPr>
            <w:r>
              <w:rPr>
                <w:rFonts w:hint="eastAsia" w:ascii="宋体" w:hAnsi="宋体" w:cs="宋体"/>
              </w:rPr>
              <w:t>指标说明：由专利代理机构向中国国家知识产权局提交的发明专利申请的数量（专利文献种类标识代码A）。</w:t>
            </w:r>
          </w:p>
          <w:p>
            <w:pPr>
              <w:adjustRightInd/>
              <w:spacing w:line="240" w:lineRule="auto"/>
              <w:jc w:val="left"/>
              <w:rPr>
                <w:rFonts w:hint="eastAsia" w:ascii="宋体" w:hAnsi="宋体" w:cs="宋体"/>
              </w:rPr>
            </w:pPr>
            <w:r>
              <w:rPr>
                <w:rFonts w:hint="eastAsia" w:ascii="宋体" w:hAnsi="宋体" w:cs="宋体"/>
              </w:rPr>
              <w:t>数值选取：取近</w:t>
            </w:r>
            <w:r>
              <w:rPr>
                <w:rFonts w:hint="eastAsia" w:ascii="宋体" w:hAnsi="宋体" w:cs="宋体"/>
                <w:lang w:eastAsia="zh-CN"/>
              </w:rPr>
              <w:t>三</w:t>
            </w:r>
            <w:r>
              <w:rPr>
                <w:rFonts w:hint="eastAsia" w:ascii="宋体" w:hAnsi="宋体" w:cs="宋体"/>
              </w:rPr>
              <w:t>年公开的发明专利申请量计算。</w:t>
            </w:r>
          </w:p>
          <w:p>
            <w:pPr>
              <w:adjustRightInd/>
              <w:spacing w:line="240" w:lineRule="auto"/>
              <w:jc w:val="left"/>
              <w:rPr>
                <w:rFonts w:ascii="宋体" w:hAnsi="宋体" w:cs="宋体"/>
              </w:rPr>
            </w:pPr>
            <w:r>
              <w:rPr>
                <w:rFonts w:hint="eastAsia" w:ascii="宋体" w:hAnsi="宋体" w:cs="宋体"/>
              </w:rPr>
              <w:t>数据来源：国家知识产权局。</w:t>
            </w:r>
          </w:p>
          <w:p>
            <w:pPr>
              <w:adjustRightInd/>
              <w:spacing w:line="240" w:lineRule="auto"/>
              <w:jc w:val="left"/>
              <w:rPr>
                <w:rFonts w:hint="eastAsia" w:ascii="宋体" w:hAnsi="宋体" w:cs="宋体"/>
              </w:rPr>
            </w:pPr>
          </w:p>
        </w:tc>
        <w:tc>
          <w:tcPr>
            <w:tcW w:w="0" w:type="auto"/>
            <w:vMerge w:val="continue"/>
            <w:tcBorders>
              <w:left w:val="nil"/>
              <w:right w:val="single" w:color="auto" w:sz="4" w:space="0"/>
            </w:tcBorders>
            <w:vAlign w:val="center"/>
          </w:tcPr>
          <w:p>
            <w:pPr>
              <w:adjustRightInd/>
              <w:spacing w:line="240" w:lineRule="auto"/>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0" w:type="auto"/>
            <w:vMerge w:val="continue"/>
            <w:tcBorders>
              <w:left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eastAsia="宋体" w:cs="宋体"/>
                <w:lang w:eastAsia="zh-CN"/>
              </w:rPr>
            </w:pPr>
            <w:r>
              <w:rPr>
                <w:rFonts w:hint="eastAsia" w:ascii="宋体" w:hAnsi="宋体" w:cs="宋体"/>
              </w:rPr>
              <w:t>海外发明专利申请量占比B</w:t>
            </w:r>
            <w:r>
              <w:rPr>
                <w:rFonts w:hint="eastAsia" w:ascii="宋体" w:hAnsi="宋体" w:cs="宋体"/>
                <w:lang w:val="en-US" w:eastAsia="zh-CN"/>
              </w:rPr>
              <w:t>2</w:t>
            </w: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left"/>
              <w:rPr>
                <w:rFonts w:ascii="宋体" w:hAnsi="宋体" w:cs="宋体"/>
              </w:rPr>
            </w:pPr>
          </w:p>
          <w:p>
            <w:pPr>
              <w:adjustRightInd/>
              <w:spacing w:line="240" w:lineRule="auto"/>
              <w:jc w:val="left"/>
              <w:rPr>
                <w:rFonts w:hint="eastAsia" w:ascii="宋体" w:hAnsi="宋体" w:cs="宋体"/>
              </w:rPr>
            </w:pPr>
            <w:r>
              <w:rPr>
                <w:rFonts w:hint="eastAsia" w:ascii="宋体" w:hAnsi="宋体" w:cs="宋体"/>
              </w:rPr>
              <w:t>指标说明：海外发明专利是指由专利代理机构向中国国家知识产权局之外</w:t>
            </w:r>
            <w:r>
              <w:rPr>
                <w:rFonts w:hint="eastAsia" w:ascii="宋体" w:hAnsi="宋体" w:cs="宋体"/>
                <w:lang w:eastAsia="zh-CN"/>
              </w:rPr>
              <w:t>具备</w:t>
            </w:r>
            <w:r>
              <w:rPr>
                <w:rFonts w:hint="eastAsia" w:ascii="宋体" w:hAnsi="宋体" w:cs="宋体"/>
              </w:rPr>
              <w:t>独立实质审查能力和资质的目标国家或地区的专利局或专利主管机构提交的发明专利申请。</w:t>
            </w:r>
          </w:p>
          <w:p>
            <w:pPr>
              <w:adjustRightInd/>
              <w:spacing w:line="240" w:lineRule="auto"/>
              <w:jc w:val="left"/>
              <w:rPr>
                <w:rFonts w:hint="eastAsia" w:ascii="宋体" w:hAnsi="宋体" w:cs="宋体"/>
              </w:rPr>
            </w:pPr>
            <w:r>
              <w:rPr>
                <w:rFonts w:hint="eastAsia" w:ascii="宋体" w:hAnsi="宋体" w:cs="宋体"/>
              </w:rPr>
              <w:t>数值选取：</w:t>
            </w:r>
            <w:r>
              <w:rPr>
                <w:rFonts w:hint="eastAsia" w:ascii="宋体" w:hAnsi="宋体" w:cs="宋体"/>
                <w:lang w:eastAsia="zh-CN"/>
              </w:rPr>
              <w:t>（</w:t>
            </w:r>
            <w:r>
              <w:rPr>
                <w:rFonts w:hint="eastAsia" w:ascii="宋体" w:hAnsi="宋体" w:cs="宋体"/>
              </w:rPr>
              <w:t>近</w:t>
            </w:r>
            <w:r>
              <w:rPr>
                <w:rFonts w:hint="eastAsia" w:ascii="宋体" w:hAnsi="宋体" w:cs="宋体"/>
                <w:lang w:eastAsia="zh-CN"/>
              </w:rPr>
              <w:t>三</w:t>
            </w:r>
            <w:r>
              <w:rPr>
                <w:rFonts w:hint="eastAsia" w:ascii="宋体" w:hAnsi="宋体" w:cs="宋体"/>
              </w:rPr>
              <w:t>年代理的具有海外发明专利的中国同族发明专利申请数量</w:t>
            </w:r>
            <w:r>
              <w:rPr>
                <w:rFonts w:hint="eastAsia" w:ascii="宋体" w:hAnsi="宋体" w:cs="宋体"/>
                <w:lang w:val="en-US" w:eastAsia="zh-CN"/>
              </w:rPr>
              <w:t>÷近</w:t>
            </w:r>
            <w:r>
              <w:rPr>
                <w:rFonts w:hint="eastAsia" w:ascii="宋体" w:hAnsi="宋体" w:cs="宋体"/>
                <w:lang w:eastAsia="zh-CN"/>
              </w:rPr>
              <w:t>三</w:t>
            </w:r>
            <w:r>
              <w:rPr>
                <w:rFonts w:hint="eastAsia" w:ascii="宋体" w:hAnsi="宋体" w:cs="宋体"/>
              </w:rPr>
              <w:t>年代理发明专利申请量B</w:t>
            </w:r>
            <w:r>
              <w:rPr>
                <w:rFonts w:hint="eastAsia" w:ascii="宋体" w:hAnsi="宋体" w:cs="宋体"/>
                <w:lang w:val="en-US" w:eastAsia="zh-CN"/>
              </w:rPr>
              <w:t>1</w:t>
            </w:r>
            <w:r>
              <w:rPr>
                <w:rFonts w:hint="eastAsia" w:ascii="宋体" w:hAnsi="宋体" w:cs="宋体"/>
                <w:lang w:eastAsia="zh-CN"/>
              </w:rPr>
              <w:t>）</w:t>
            </w:r>
            <w:r>
              <w:rPr>
                <w:rFonts w:hint="eastAsia" w:ascii="宋体" w:hAnsi="宋体" w:cs="宋体"/>
                <w:lang w:val="en-US" w:eastAsia="zh-CN"/>
              </w:rPr>
              <w:t>×100%</w:t>
            </w:r>
            <w:r>
              <w:rPr>
                <w:rFonts w:hint="eastAsia" w:ascii="宋体" w:hAnsi="宋体" w:cs="宋体"/>
              </w:rPr>
              <w:t>。</w:t>
            </w:r>
          </w:p>
          <w:p>
            <w:pPr>
              <w:adjustRightInd/>
              <w:spacing w:line="240" w:lineRule="auto"/>
              <w:jc w:val="left"/>
              <w:rPr>
                <w:rFonts w:ascii="宋体" w:hAnsi="宋体" w:cs="宋体"/>
              </w:rPr>
            </w:pPr>
            <w:r>
              <w:rPr>
                <w:rFonts w:hint="eastAsia" w:ascii="宋体" w:hAnsi="宋体" w:cs="宋体"/>
              </w:rPr>
              <w:t>数据来源：国家知识产权局。</w:t>
            </w:r>
          </w:p>
          <w:p>
            <w:pPr>
              <w:adjustRightInd/>
              <w:spacing w:line="240" w:lineRule="auto"/>
              <w:jc w:val="left"/>
              <w:rPr>
                <w:rFonts w:hint="eastAsia" w:ascii="宋体" w:hAnsi="宋体" w:cs="宋体"/>
              </w:rPr>
            </w:pPr>
          </w:p>
        </w:tc>
        <w:tc>
          <w:tcPr>
            <w:tcW w:w="0" w:type="auto"/>
            <w:vMerge w:val="continue"/>
            <w:tcBorders>
              <w:left w:val="nil"/>
              <w:right w:val="single" w:color="auto" w:sz="4" w:space="0"/>
            </w:tcBorders>
            <w:vAlign w:val="center"/>
          </w:tcPr>
          <w:p>
            <w:pPr>
              <w:adjustRightInd/>
              <w:spacing w:line="240" w:lineRule="auto"/>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0" w:type="auto"/>
            <w:vMerge w:val="continue"/>
            <w:tcBorders>
              <w:left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发明专利申请领域聚类度B3</w:t>
            </w: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left"/>
              <w:rPr>
                <w:rFonts w:hint="eastAsia" w:ascii="宋体" w:hAnsi="宋体" w:cs="宋体"/>
              </w:rPr>
            </w:pPr>
            <w:r>
              <w:rPr>
                <w:rFonts w:ascii="宋体" w:hAnsi="宋体" w:cs="宋体"/>
              </w:rPr>
              <w:t>指标说明：</w:t>
            </w:r>
            <w:r>
              <w:rPr>
                <w:rFonts w:hint="eastAsia" w:ascii="宋体" w:hAnsi="宋体" w:cs="宋体"/>
                <w:lang w:eastAsia="zh-CN"/>
              </w:rPr>
              <w:t>聚类案件量是指</w:t>
            </w:r>
            <w:r>
              <w:rPr>
                <w:rFonts w:ascii="宋体" w:hAnsi="宋体" w:cs="宋体"/>
              </w:rPr>
              <w:t>专利代理机构向</w:t>
            </w:r>
            <w:r>
              <w:rPr>
                <w:rFonts w:hint="eastAsia" w:ascii="宋体" w:hAnsi="宋体" w:cs="宋体"/>
                <w:lang w:eastAsia="zh-CN"/>
              </w:rPr>
              <w:t>中国</w:t>
            </w:r>
            <w:r>
              <w:rPr>
                <w:rFonts w:ascii="宋体" w:hAnsi="宋体" w:cs="宋体"/>
              </w:rPr>
              <w:t>国家知识产权局提交的发明专利申请中，</w:t>
            </w:r>
            <w:r>
              <w:rPr>
                <w:rFonts w:hint="eastAsia" w:ascii="宋体" w:hAnsi="宋体" w:cs="宋体"/>
              </w:rPr>
              <w:t>数量第一的</w:t>
            </w:r>
            <w:r>
              <w:rPr>
                <w:rFonts w:ascii="宋体" w:hAnsi="宋体" w:cs="宋体"/>
              </w:rPr>
              <w:t>主分类号（精确到</w:t>
            </w:r>
            <w:r>
              <w:rPr>
                <w:rFonts w:hint="eastAsia" w:ascii="宋体" w:hAnsi="宋体" w:cs="宋体"/>
                <w:lang w:val="en-US" w:eastAsia="zh-CN"/>
              </w:rPr>
              <w:t>IPC</w:t>
            </w:r>
            <w:r>
              <w:rPr>
                <w:rFonts w:ascii="宋体" w:hAnsi="宋体" w:cs="宋体"/>
              </w:rPr>
              <w:t>分类号小类）</w:t>
            </w:r>
            <w:r>
              <w:rPr>
                <w:rFonts w:hint="eastAsia" w:ascii="宋体" w:hAnsi="宋体" w:cs="宋体"/>
                <w:lang w:eastAsia="zh-CN"/>
              </w:rPr>
              <w:t>所属的申请量</w:t>
            </w:r>
            <w:r>
              <w:rPr>
                <w:rFonts w:ascii="宋体" w:hAnsi="宋体" w:cs="宋体"/>
              </w:rPr>
              <w:t>。</w:t>
            </w:r>
          </w:p>
          <w:p>
            <w:pPr>
              <w:adjustRightInd/>
              <w:spacing w:line="240" w:lineRule="auto"/>
              <w:jc w:val="left"/>
              <w:rPr>
                <w:rFonts w:ascii="宋体" w:hAnsi="宋体" w:cs="宋体"/>
              </w:rPr>
            </w:pPr>
            <w:r>
              <w:rPr>
                <w:rFonts w:ascii="宋体" w:hAnsi="宋体" w:cs="宋体"/>
              </w:rPr>
              <w:t>数值选取：</w:t>
            </w:r>
            <w:r>
              <w:rPr>
                <w:rFonts w:hint="eastAsia" w:ascii="宋体" w:hAnsi="宋体" w:cs="宋体"/>
                <w:lang w:eastAsia="zh-CN"/>
              </w:rPr>
              <w:t>（</w:t>
            </w:r>
            <w:r>
              <w:rPr>
                <w:rFonts w:ascii="宋体" w:hAnsi="宋体" w:cs="宋体"/>
              </w:rPr>
              <w:t>近</w:t>
            </w:r>
            <w:r>
              <w:rPr>
                <w:rFonts w:hint="eastAsia" w:ascii="宋体" w:hAnsi="宋体" w:cs="宋体"/>
                <w:lang w:eastAsia="zh-CN"/>
              </w:rPr>
              <w:t>三</w:t>
            </w:r>
            <w:r>
              <w:rPr>
                <w:rFonts w:ascii="宋体" w:hAnsi="宋体" w:cs="宋体"/>
              </w:rPr>
              <w:t>年</w:t>
            </w:r>
            <w:r>
              <w:rPr>
                <w:rFonts w:hint="eastAsia" w:ascii="宋体" w:hAnsi="宋体" w:cs="宋体"/>
                <w:lang w:eastAsia="zh-CN"/>
              </w:rPr>
              <w:t>聚类案件量</w:t>
            </w:r>
            <w:r>
              <w:rPr>
                <w:rFonts w:hint="eastAsia" w:ascii="宋体" w:hAnsi="宋体" w:cs="宋体"/>
                <w:lang w:val="en-US" w:eastAsia="zh-CN"/>
              </w:rPr>
              <w:t>÷三年代理发明专利申请量B1）×100%。</w:t>
            </w:r>
          </w:p>
          <w:p>
            <w:pPr>
              <w:adjustRightInd/>
              <w:spacing w:line="240" w:lineRule="auto"/>
              <w:jc w:val="left"/>
              <w:rPr>
                <w:rFonts w:hint="eastAsia" w:ascii="宋体" w:hAnsi="宋体" w:cs="宋体"/>
              </w:rPr>
            </w:pPr>
            <w:r>
              <w:rPr>
                <w:rFonts w:ascii="宋体" w:hAnsi="宋体" w:cs="宋体"/>
              </w:rPr>
              <w:t>数据来源：国家知识产权局。</w:t>
            </w:r>
          </w:p>
        </w:tc>
        <w:tc>
          <w:tcPr>
            <w:tcW w:w="0" w:type="auto"/>
            <w:vMerge w:val="continue"/>
            <w:tcBorders>
              <w:left w:val="nil"/>
              <w:right w:val="single" w:color="auto" w:sz="4" w:space="0"/>
            </w:tcBorders>
            <w:vAlign w:val="center"/>
          </w:tcPr>
          <w:p>
            <w:pPr>
              <w:adjustRightInd/>
              <w:spacing w:line="240" w:lineRule="auto"/>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0" w:type="auto"/>
            <w:vMerge w:val="continue"/>
            <w:tcBorders>
              <w:left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粘合度B4</w:t>
            </w: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left"/>
              <w:rPr>
                <w:rFonts w:ascii="宋体" w:hAnsi="宋体" w:cs="宋体"/>
                <w:highlight w:val="none"/>
              </w:rPr>
            </w:pPr>
            <w:r>
              <w:rPr>
                <w:rFonts w:ascii="宋体" w:hAnsi="宋体" w:cs="宋体"/>
                <w:highlight w:val="none"/>
              </w:rPr>
              <w:t>指标说明：在</w:t>
            </w:r>
            <w:r>
              <w:rPr>
                <w:rFonts w:hint="eastAsia" w:ascii="宋体" w:hAnsi="宋体" w:cs="宋体"/>
                <w:highlight w:val="none"/>
                <w:lang w:val="en-US" w:eastAsia="zh-CN"/>
              </w:rPr>
              <w:t>五年内</w:t>
            </w:r>
            <w:r>
              <w:rPr>
                <w:rFonts w:ascii="宋体" w:hAnsi="宋体" w:cs="宋体"/>
                <w:highlight w:val="none"/>
              </w:rPr>
              <w:t>，专利代理机构前三年服务的</w:t>
            </w:r>
            <w:r>
              <w:rPr>
                <w:rFonts w:hint="eastAsia" w:ascii="宋体" w:hAnsi="宋体" w:cs="宋体"/>
                <w:strike w:val="0"/>
                <w:dstrike w:val="0"/>
                <w:highlight w:val="none"/>
                <w:lang w:eastAsia="zh-CN"/>
              </w:rPr>
              <w:t>创新主体数量</w:t>
            </w:r>
            <w:r>
              <w:rPr>
                <w:rFonts w:ascii="宋体" w:hAnsi="宋体" w:cs="宋体"/>
                <w:highlight w:val="none"/>
              </w:rPr>
              <w:t>与后两年服务的</w:t>
            </w:r>
            <w:r>
              <w:rPr>
                <w:rFonts w:hint="eastAsia" w:ascii="宋体" w:hAnsi="宋体" w:cs="宋体"/>
                <w:strike w:val="0"/>
                <w:dstrike w:val="0"/>
                <w:highlight w:val="none"/>
                <w:lang w:eastAsia="zh-CN"/>
              </w:rPr>
              <w:t>创新主体的</w:t>
            </w:r>
            <w:r>
              <w:rPr>
                <w:rFonts w:ascii="宋体" w:hAnsi="宋体" w:cs="宋体"/>
                <w:highlight w:val="none"/>
              </w:rPr>
              <w:t>重合数量占前三年服务的</w:t>
            </w:r>
            <w:r>
              <w:rPr>
                <w:rFonts w:hint="eastAsia" w:ascii="宋体" w:hAnsi="宋体" w:cs="宋体"/>
                <w:strike w:val="0"/>
                <w:dstrike w:val="0"/>
                <w:highlight w:val="none"/>
                <w:lang w:eastAsia="zh-CN"/>
              </w:rPr>
              <w:t>创新主体</w:t>
            </w:r>
            <w:r>
              <w:rPr>
                <w:rFonts w:ascii="宋体" w:hAnsi="宋体" w:cs="宋体"/>
                <w:highlight w:val="none"/>
              </w:rPr>
              <w:t>数量的比例；</w:t>
            </w:r>
          </w:p>
          <w:p>
            <w:pPr>
              <w:adjustRightInd/>
              <w:spacing w:line="240" w:lineRule="auto"/>
              <w:jc w:val="left"/>
              <w:rPr>
                <w:rFonts w:ascii="Times New Roman" w:hAnsi="DejaVu Math TeX Gyre" w:cs="宋体"/>
              </w:rPr>
            </w:pPr>
            <w:r>
              <w:rPr>
                <w:rFonts w:hint="eastAsia" w:ascii="宋体" w:hAnsi="宋体" w:cs="宋体"/>
                <w:highlight w:val="none"/>
              </w:rPr>
              <w:t>数值选取：</w:t>
            </w:r>
            <m:oMath>
              <m:r>
                <m:rPr>
                  <m:sty m:val="p"/>
                </m:rPr>
                <w:rPr>
                  <w:rFonts w:ascii="Cambria Math" w:hAnsi="Cambria Math" w:cs="宋体"/>
                </w:rPr>
                <m:t>粘合度=</m:t>
              </m:r>
              <m:f>
                <m:fPr>
                  <m:ctrlPr>
                    <w:rPr>
                      <w:rFonts w:ascii="Cambria Math" w:hAnsi="Cambria Math" w:cs="宋体"/>
                      <w:highlight w:val="none"/>
                    </w:rPr>
                  </m:ctrlPr>
                </m:fPr>
                <m:num>
                  <m:r>
                    <m:rPr>
                      <m:sty m:val="p"/>
                    </m:rPr>
                    <w:rPr>
                      <w:rFonts w:ascii="Cambria Math" w:hAnsi="Cambria Math" w:cs="宋体"/>
                      <w:highlight w:val="none"/>
                    </w:rPr>
                    <m:t>前三年服务的</m:t>
                  </m:r>
                  <m:r>
                    <m:rPr>
                      <m:sty m:val="p"/>
                    </m:rPr>
                    <w:rPr>
                      <w:rFonts w:hint="default" w:ascii="DejaVu Math TeX Gyre" w:hAnsi="DejaVu Math TeX Gyre" w:cs="宋体"/>
                      <w:highlight w:val="none"/>
                      <w:lang w:eastAsia="zh-CN"/>
                    </w:rPr>
                    <m:t>创新主体</m:t>
                  </m:r>
                  <m:r>
                    <m:rPr>
                      <m:sty m:val="p"/>
                    </m:rPr>
                    <w:rPr>
                      <w:rFonts w:ascii="Cambria Math" w:hAnsi="Cambria Math" w:cs="宋体"/>
                      <w:highlight w:val="none"/>
                    </w:rPr>
                    <m:t>数量∩后两年服务的</m:t>
                  </m:r>
                  <m:r>
                    <m:rPr>
                      <m:sty m:val="p"/>
                    </m:rPr>
                    <w:rPr>
                      <w:rFonts w:hint="default" w:ascii="DejaVu Math TeX Gyre" w:hAnsi="DejaVu Math TeX Gyre" w:cs="宋体"/>
                      <w:highlight w:val="none"/>
                      <w:lang w:eastAsia="zh-CN"/>
                    </w:rPr>
                    <m:t>创新主体</m:t>
                  </m:r>
                  <m:r>
                    <m:rPr>
                      <m:sty m:val="p"/>
                    </m:rPr>
                    <w:rPr>
                      <w:rFonts w:ascii="Cambria Math" w:hAnsi="Cambria Math" w:cs="宋体"/>
                      <w:highlight w:val="none"/>
                    </w:rPr>
                    <m:t>数量</m:t>
                  </m:r>
                  <m:ctrlPr>
                    <w:rPr>
                      <w:rFonts w:ascii="Cambria Math" w:hAnsi="Cambria Math" w:cs="宋体"/>
                      <w:highlight w:val="none"/>
                    </w:rPr>
                  </m:ctrlPr>
                </m:num>
                <m:den>
                  <m:r>
                    <m:rPr>
                      <m:sty m:val="p"/>
                    </m:rPr>
                    <w:rPr>
                      <w:rFonts w:ascii="Cambria Math" w:hAnsi="Cambria Math" w:cs="宋体"/>
                      <w:highlight w:val="none"/>
                    </w:rPr>
                    <m:t>前三年服务的</m:t>
                  </m:r>
                  <m:r>
                    <m:rPr>
                      <m:sty m:val="p"/>
                    </m:rPr>
                    <w:rPr>
                      <w:rFonts w:hint="default" w:ascii="DejaVu Math TeX Gyre" w:hAnsi="DejaVu Math TeX Gyre" w:cs="宋体"/>
                      <w:strike w:val="0"/>
                      <w:dstrike w:val="0"/>
                      <w:highlight w:val="none"/>
                      <w:lang w:eastAsia="zh-CN"/>
                    </w:rPr>
                    <m:t>创新主体</m:t>
                  </m:r>
                  <m:r>
                    <m:rPr>
                      <m:sty m:val="p"/>
                    </m:rPr>
                    <w:rPr>
                      <w:rFonts w:ascii="Cambria Math" w:hAnsi="Cambria Math" w:cs="宋体"/>
                      <w:highlight w:val="none"/>
                    </w:rPr>
                    <m:t>数量</m:t>
                  </m:r>
                  <m:ctrlPr>
                    <w:rPr>
                      <w:rFonts w:ascii="Cambria Math" w:hAnsi="Cambria Math" w:cs="宋体"/>
                      <w:highlight w:val="none"/>
                    </w:rPr>
                  </m:ctrlPr>
                </m:den>
              </m:f>
              <m:r>
                <m:rPr>
                  <m:sty m:val="p"/>
                </m:rPr>
                <w:rPr>
                  <w:rFonts w:ascii="Cambria Math" w:hAnsi="Cambria Math" w:cs="宋体"/>
                </w:rPr>
                <m:t>×</m:t>
              </m:r>
              <m:r>
                <m:rPr>
                  <m:sty m:val="p"/>
                </m:rPr>
                <w:rPr>
                  <w:rFonts w:hint="eastAsia" w:ascii="DejaVu Math TeX Gyre" w:hAnsi="DejaVu Math TeX Gyre" w:eastAsia="宋体" w:cs="宋体"/>
                </w:rPr>
                <m:t>100%</m:t>
              </m:r>
            </m:oMath>
            <w:r>
              <w:rPr>
                <w:rFonts w:ascii="Times New Roman" w:hAnsi="DejaVu Math TeX Gyre" w:cs="宋体"/>
              </w:rPr>
              <w:t>。</w:t>
            </w:r>
          </w:p>
          <w:p>
            <w:pPr>
              <w:adjustRightInd/>
              <w:spacing w:line="240" w:lineRule="auto"/>
              <w:jc w:val="left"/>
              <w:rPr>
                <w:rFonts w:ascii="Times New Roman" w:hAnsi="DejaVu Math TeX Gyre" w:cs="宋体"/>
              </w:rPr>
            </w:pPr>
            <w:r>
              <w:rPr>
                <w:rFonts w:ascii="宋体" w:hAnsi="宋体" w:cs="宋体"/>
              </w:rPr>
              <w:t>数据来源：国家知识产权局。</w:t>
            </w:r>
          </w:p>
        </w:tc>
        <w:tc>
          <w:tcPr>
            <w:tcW w:w="0" w:type="auto"/>
            <w:vMerge w:val="continue"/>
            <w:tcBorders>
              <w:left w:val="nil"/>
              <w:right w:val="single" w:color="auto" w:sz="4" w:space="0"/>
            </w:tcBorders>
            <w:vAlign w:val="center"/>
          </w:tcPr>
          <w:p>
            <w:pPr>
              <w:adjustRightInd/>
              <w:spacing w:line="240" w:lineRule="auto"/>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0" w:type="auto"/>
            <w:vMerge w:val="continue"/>
            <w:tcBorders>
              <w:left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优质创新主体占比B5</w:t>
            </w:r>
          </w:p>
        </w:tc>
        <w:tc>
          <w:tcPr>
            <w:tcW w:w="0" w:type="auto"/>
            <w:vMerge w:val="restart"/>
            <w:tcBorders>
              <w:top w:val="nil"/>
              <w:left w:val="nil"/>
              <w:bottom w:val="single" w:color="auto" w:sz="4" w:space="0"/>
              <w:right w:val="single" w:color="auto" w:sz="4" w:space="0"/>
            </w:tcBorders>
            <w:vAlign w:val="center"/>
          </w:tcPr>
          <w:p>
            <w:pPr>
              <w:adjustRightInd/>
              <w:spacing w:line="240" w:lineRule="auto"/>
              <w:rPr>
                <w:rFonts w:hint="eastAsia" w:ascii="宋体" w:hAnsi="宋体" w:cs="宋体"/>
              </w:rPr>
            </w:pPr>
            <w:r>
              <w:rPr>
                <w:rFonts w:ascii="宋体" w:hAnsi="宋体" w:cs="宋体"/>
              </w:rPr>
              <w:t>指标说明：专利代理机构服务的全部创新主体</w:t>
            </w:r>
            <w:r>
              <w:rPr>
                <w:rFonts w:ascii="宋体" w:hAnsi="宋体" w:cs="宋体"/>
                <w:lang w:bidi="ar"/>
              </w:rPr>
              <w:t>总量中，符合特定筛选标准或资质的优质创新主体数量所占的比例。</w:t>
            </w:r>
          </w:p>
          <w:p>
            <w:pPr>
              <w:adjustRightInd/>
              <w:spacing w:line="240" w:lineRule="auto"/>
              <w:rPr>
                <w:rFonts w:ascii="宋体" w:hAnsi="宋体" w:cs="宋体"/>
                <w:lang w:bidi="ar"/>
              </w:rPr>
            </w:pPr>
            <w:r>
              <w:rPr>
                <w:rFonts w:ascii="宋体" w:hAnsi="宋体" w:cs="宋体"/>
                <w:lang w:bidi="ar"/>
              </w:rPr>
              <w:t>注：特定筛选标准或资质是指具备至少一项由国家有关部委认定或授予资质的创新主体。</w:t>
            </w:r>
          </w:p>
          <w:p>
            <w:pPr>
              <w:adjustRightInd/>
              <w:spacing w:line="240" w:lineRule="auto"/>
              <w:rPr>
                <w:rFonts w:hint="eastAsia" w:ascii="宋体" w:hAnsi="宋体" w:eastAsia="宋体" w:cs="宋体"/>
                <w:lang w:eastAsia="zh-CN" w:bidi="ar"/>
              </w:rPr>
            </w:pPr>
            <w:r>
              <w:rPr>
                <w:rFonts w:hint="eastAsia" w:ascii="宋体" w:hAnsi="宋体" w:cs="宋体"/>
                <w:lang w:eastAsia="zh-CN" w:bidi="ar"/>
              </w:rPr>
              <w:t>数值选取：优质创新主体数量除以总服务主体数量</w:t>
            </w:r>
          </w:p>
          <w:p>
            <w:pPr>
              <w:adjustRightInd/>
              <w:spacing w:line="240" w:lineRule="auto"/>
              <w:rPr>
                <w:rFonts w:hint="eastAsia" w:ascii="宋体" w:hAnsi="宋体" w:eastAsia="宋体" w:cs="宋体"/>
                <w:lang w:eastAsia="zh-CN" w:bidi="ar"/>
              </w:rPr>
            </w:pPr>
            <w:r>
              <w:rPr>
                <w:rFonts w:hint="eastAsia" w:ascii="宋体" w:hAnsi="宋体" w:cs="宋体"/>
                <w:highlight w:val="none"/>
                <w:lang w:eastAsia="zh-CN" w:bidi="ar"/>
              </w:rPr>
              <w:t>数据来源：国家科技部、财政部、税务总局、工业和信息化部等官方数据。</w:t>
            </w:r>
          </w:p>
        </w:tc>
        <w:tc>
          <w:tcPr>
            <w:tcW w:w="0" w:type="auto"/>
            <w:vMerge w:val="continue"/>
            <w:tcBorders>
              <w:left w:val="nil"/>
              <w:right w:val="single" w:color="auto" w:sz="4" w:space="0"/>
            </w:tcBorders>
            <w:vAlign w:val="center"/>
          </w:tcPr>
          <w:p>
            <w:pPr>
              <w:adjustRightInd/>
              <w:spacing w:line="240" w:lineRule="auto"/>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0" w:type="auto"/>
            <w:vMerge w:val="restart"/>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r>
              <w:rPr>
                <w:rFonts w:ascii="宋体" w:hAnsi="宋体" w:cs="宋体"/>
              </w:rPr>
              <w:t>专利获权能力C</w:t>
            </w: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代理发明专利申请授权率C1</w:t>
            </w:r>
          </w:p>
        </w:tc>
        <w:tc>
          <w:tcPr>
            <w:tcW w:w="0" w:type="auto"/>
            <w:vMerge w:val="restart"/>
            <w:tcBorders>
              <w:top w:val="nil"/>
              <w:left w:val="nil"/>
              <w:bottom w:val="single" w:color="auto" w:sz="4" w:space="0"/>
              <w:right w:val="single" w:color="auto" w:sz="4" w:space="0"/>
            </w:tcBorders>
            <w:vAlign w:val="center"/>
          </w:tcPr>
          <w:p>
            <w:pPr>
              <w:adjustRightInd/>
              <w:spacing w:line="240" w:lineRule="auto"/>
              <w:jc w:val="left"/>
              <w:rPr>
                <w:rFonts w:hint="eastAsia" w:ascii="宋体" w:hAnsi="宋体" w:cs="宋体"/>
              </w:rPr>
            </w:pPr>
            <w:r>
              <w:rPr>
                <w:rFonts w:ascii="宋体" w:hAnsi="宋体" w:cs="宋体"/>
              </w:rPr>
              <w:t>指标说明：在一定统计周期内，专利代理机构所代理的发明专利申请中，最终获得授权的比例。</w:t>
            </w:r>
          </w:p>
          <w:p>
            <w:pPr>
              <w:adjustRightInd/>
              <w:spacing w:line="240" w:lineRule="auto"/>
              <w:jc w:val="left"/>
              <w:rPr>
                <w:rFonts w:hint="eastAsia" w:ascii="宋体" w:hAnsi="宋体" w:cs="宋体"/>
              </w:rPr>
            </w:pPr>
            <w:r>
              <w:rPr>
                <w:rFonts w:ascii="宋体" w:hAnsi="宋体" w:cs="宋体"/>
              </w:rPr>
              <w:t>数值选取：近</w:t>
            </w:r>
            <w:r>
              <w:rPr>
                <w:rFonts w:hint="eastAsia" w:ascii="宋体" w:hAnsi="宋体" w:cs="宋体"/>
                <w:lang w:eastAsia="zh-CN"/>
              </w:rPr>
              <w:t>三</w:t>
            </w:r>
            <w:r>
              <w:rPr>
                <w:rFonts w:ascii="宋体" w:hAnsi="宋体" w:cs="宋体"/>
              </w:rPr>
              <w:t>年代理的发明专利申请授权率=（授权发明专利数量÷发明专利申请结案数量）×100%；</w:t>
            </w:r>
          </w:p>
          <w:p>
            <w:pPr>
              <w:adjustRightInd/>
              <w:spacing w:line="240" w:lineRule="auto"/>
              <w:jc w:val="left"/>
              <w:rPr>
                <w:rFonts w:hint="eastAsia" w:ascii="宋体" w:hAnsi="宋体" w:cs="宋体"/>
              </w:rPr>
            </w:pPr>
            <w:r>
              <w:rPr>
                <w:rFonts w:ascii="宋体" w:hAnsi="宋体" w:cs="宋体"/>
              </w:rPr>
              <w:t>数据来源：国家知识产权局。</w:t>
            </w:r>
          </w:p>
        </w:tc>
        <w:tc>
          <w:tcPr>
            <w:tcW w:w="0" w:type="auto"/>
            <w:vMerge w:val="continue"/>
            <w:tcBorders>
              <w:left w:val="nil"/>
              <w:right w:val="single" w:color="auto" w:sz="4" w:space="0"/>
            </w:tcBorders>
            <w:vAlign w:val="center"/>
          </w:tcPr>
          <w:p>
            <w:pPr>
              <w:adjustRightInd/>
              <w:spacing w:line="240" w:lineRule="auto"/>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0" w:type="auto"/>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代理发明专利申请撤回率C2</w:t>
            </w:r>
          </w:p>
        </w:tc>
        <w:tc>
          <w:tcPr>
            <w:tcW w:w="0" w:type="auto"/>
            <w:tcBorders>
              <w:top w:val="nil"/>
              <w:left w:val="nil"/>
              <w:bottom w:val="single" w:color="auto" w:sz="4" w:space="0"/>
              <w:right w:val="single" w:color="auto" w:sz="4" w:space="0"/>
            </w:tcBorders>
            <w:vAlign w:val="center"/>
          </w:tcPr>
          <w:p>
            <w:pPr>
              <w:adjustRightInd/>
              <w:spacing w:line="240" w:lineRule="auto"/>
              <w:jc w:val="left"/>
              <w:rPr>
                <w:rFonts w:hint="eastAsia" w:ascii="宋体" w:hAnsi="宋体" w:cs="宋体"/>
              </w:rPr>
            </w:pPr>
            <w:r>
              <w:rPr>
                <w:rFonts w:ascii="宋体" w:hAnsi="宋体" w:cs="宋体"/>
              </w:rPr>
              <w:t>指标说明：</w:t>
            </w:r>
            <w:r>
              <w:rPr>
                <w:rFonts w:hint="eastAsia" w:ascii="宋体" w:hAnsi="宋体" w:cs="宋体"/>
              </w:rPr>
              <w:t>发明专利申请撤回数量</w:t>
            </w:r>
            <w:r>
              <w:rPr>
                <w:rFonts w:hint="eastAsia" w:ascii="宋体" w:hAnsi="宋体" w:cs="宋体"/>
                <w:lang w:eastAsia="zh-CN"/>
              </w:rPr>
              <w:t>是指</w:t>
            </w:r>
            <w:r>
              <w:rPr>
                <w:rFonts w:ascii="宋体" w:hAnsi="宋体" w:cs="宋体"/>
              </w:rPr>
              <w:t>在一定统计周期内，专利代理机构所代理的发明专利中，“视为撤回”和“主动撤回”的发明专利申请</w:t>
            </w:r>
            <w:r>
              <w:rPr>
                <w:rFonts w:hint="eastAsia" w:ascii="宋体" w:hAnsi="宋体" w:cs="宋体"/>
                <w:lang w:eastAsia="zh-CN"/>
              </w:rPr>
              <w:t>量</w:t>
            </w:r>
            <w:r>
              <w:rPr>
                <w:rFonts w:ascii="宋体" w:hAnsi="宋体" w:cs="宋体"/>
              </w:rPr>
              <w:t>。</w:t>
            </w:r>
          </w:p>
          <w:p>
            <w:pPr>
              <w:adjustRightInd/>
              <w:spacing w:line="240" w:lineRule="auto"/>
              <w:jc w:val="left"/>
              <w:rPr>
                <w:rFonts w:hint="eastAsia" w:ascii="宋体" w:hAnsi="宋体" w:cs="宋体"/>
              </w:rPr>
            </w:pPr>
            <w:r>
              <w:rPr>
                <w:rFonts w:ascii="宋体" w:hAnsi="宋体" w:cs="宋体"/>
              </w:rPr>
              <w:t>数值选取：近</w:t>
            </w:r>
            <w:r>
              <w:rPr>
                <w:rFonts w:hint="eastAsia" w:ascii="宋体" w:hAnsi="宋体" w:cs="宋体"/>
                <w:lang w:eastAsia="zh-CN"/>
              </w:rPr>
              <w:t>三</w:t>
            </w:r>
            <w:r>
              <w:rPr>
                <w:rFonts w:ascii="宋体" w:hAnsi="宋体" w:cs="宋体"/>
              </w:rPr>
              <w:t>年代理的发明专利申请撤回率=（发明专利申请撤回数量÷发明专利申请结案数量）×100%</w:t>
            </w:r>
          </w:p>
          <w:p>
            <w:pPr>
              <w:adjustRightInd/>
              <w:spacing w:line="240" w:lineRule="auto"/>
              <w:jc w:val="left"/>
              <w:rPr>
                <w:rFonts w:hint="eastAsia" w:ascii="宋体" w:hAnsi="宋体" w:cs="宋体"/>
              </w:rPr>
            </w:pPr>
            <w:r>
              <w:rPr>
                <w:rFonts w:ascii="宋体" w:hAnsi="宋体" w:cs="宋体"/>
              </w:rPr>
              <w:t>数据来源：国家知识产权局。</w:t>
            </w:r>
          </w:p>
        </w:tc>
        <w:tc>
          <w:tcPr>
            <w:tcW w:w="0" w:type="auto"/>
            <w:vMerge w:val="continue"/>
            <w:tcBorders>
              <w:left w:val="nil"/>
              <w:right w:val="single" w:color="auto" w:sz="4" w:space="0"/>
            </w:tcBorders>
            <w:vAlign w:val="center"/>
          </w:tcPr>
          <w:p>
            <w:pPr>
              <w:adjustRightInd/>
              <w:spacing w:line="240" w:lineRule="auto"/>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restart"/>
            <w:tcBorders>
              <w:top w:val="nil"/>
              <w:left w:val="single" w:color="auto" w:sz="4" w:space="0"/>
              <w:right w:val="single" w:color="auto" w:sz="4" w:space="0"/>
            </w:tcBorders>
            <w:vAlign w:val="center"/>
          </w:tcPr>
          <w:p>
            <w:pPr>
              <w:adjustRightInd/>
              <w:spacing w:line="240" w:lineRule="auto"/>
              <w:jc w:val="both"/>
              <w:rPr>
                <w:rFonts w:ascii="宋体" w:hAnsi="宋体" w:cs="宋体"/>
              </w:rPr>
            </w:pPr>
          </w:p>
          <w:p>
            <w:pPr>
              <w:adjustRightInd/>
              <w:spacing w:line="240" w:lineRule="auto"/>
              <w:jc w:val="center"/>
              <w:rPr>
                <w:rFonts w:hint="eastAsia" w:ascii="宋体" w:hAnsi="宋体" w:cs="宋体"/>
              </w:rPr>
            </w:pPr>
            <w:r>
              <w:rPr>
                <w:rFonts w:ascii="宋体" w:hAnsi="宋体" w:cs="宋体"/>
              </w:rPr>
              <w:t>加分项D</w:t>
            </w: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专利奖D1</w:t>
            </w: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left"/>
              <w:rPr>
                <w:rFonts w:hint="eastAsia" w:ascii="宋体" w:hAnsi="宋体" w:cs="宋体"/>
              </w:rPr>
            </w:pPr>
            <w:r>
              <w:rPr>
                <w:rFonts w:ascii="宋体" w:hAnsi="宋体" w:cs="宋体"/>
              </w:rPr>
              <w:t>指标说明：</w:t>
            </w:r>
            <w:r>
              <w:rPr>
                <w:rFonts w:hint="eastAsia" w:ascii="宋体" w:hAnsi="宋体" w:cs="宋体"/>
                <w:lang w:eastAsia="zh-CN"/>
              </w:rPr>
              <w:t>取</w:t>
            </w:r>
            <w:r>
              <w:rPr>
                <w:rFonts w:ascii="宋体" w:hAnsi="宋体" w:cs="宋体"/>
              </w:rPr>
              <w:t>中国专利奖</w:t>
            </w:r>
            <w:r>
              <w:rPr>
                <w:rFonts w:hint="eastAsia" w:ascii="宋体" w:hAnsi="宋体" w:cs="宋体"/>
                <w:lang w:eastAsia="zh-CN"/>
              </w:rPr>
              <w:t>或</w:t>
            </w:r>
            <w:r>
              <w:rPr>
                <w:rFonts w:ascii="宋体" w:hAnsi="宋体" w:cs="宋体"/>
              </w:rPr>
              <w:t>浙江省知识产权奖（发明专利）最高奖次计分</w:t>
            </w:r>
            <w:r>
              <w:rPr>
                <w:rFonts w:hint="eastAsia" w:ascii="宋体" w:hAnsi="宋体" w:cs="宋体"/>
                <w:lang w:eastAsia="zh-CN"/>
              </w:rPr>
              <w:t>一次。</w:t>
            </w:r>
          </w:p>
          <w:p>
            <w:pPr>
              <w:adjustRightInd/>
              <w:spacing w:line="240" w:lineRule="auto"/>
              <w:jc w:val="left"/>
              <w:rPr>
                <w:rFonts w:hint="eastAsia" w:ascii="宋体" w:hAnsi="宋体" w:cs="宋体"/>
              </w:rPr>
            </w:pPr>
            <w:r>
              <w:rPr>
                <w:rFonts w:ascii="宋体" w:hAnsi="宋体" w:cs="宋体"/>
              </w:rPr>
              <w:t>注：</w:t>
            </w:r>
            <w:r>
              <w:rPr>
                <w:rFonts w:hint="eastAsia" w:ascii="宋体" w:hAnsi="宋体" w:cs="宋体"/>
                <w:lang w:eastAsia="zh-CN"/>
              </w:rPr>
              <w:t>首次评价不限年份，</w:t>
            </w:r>
            <w:r>
              <w:rPr>
                <w:rFonts w:ascii="宋体" w:hAnsi="宋体" w:cs="宋体"/>
              </w:rPr>
              <w:t>第二次评价及往后评价，取该评价周期内获奖数据。</w:t>
            </w:r>
          </w:p>
          <w:p>
            <w:pPr>
              <w:adjustRightInd/>
              <w:spacing w:line="240" w:lineRule="auto"/>
              <w:jc w:val="left"/>
              <w:rPr>
                <w:rFonts w:hint="eastAsia" w:ascii="宋体" w:hAnsi="宋体" w:cs="宋体"/>
              </w:rPr>
            </w:pPr>
            <w:r>
              <w:rPr>
                <w:rFonts w:ascii="宋体" w:hAnsi="宋体" w:cs="宋体"/>
              </w:rPr>
              <w:t>数据来源：国家知识产权局。</w:t>
            </w: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0" w:type="auto"/>
            <w:vMerge w:val="continue"/>
            <w:tcBorders>
              <w:left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标准必要专利（SEP）D2</w:t>
            </w: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left"/>
              <w:rPr>
                <w:rFonts w:hint="eastAsia" w:ascii="宋体" w:hAnsi="宋体" w:cs="宋体"/>
              </w:rPr>
            </w:pPr>
            <w:r>
              <w:rPr>
                <w:rFonts w:ascii="宋体" w:hAnsi="宋体" w:cs="宋体"/>
              </w:rPr>
              <w:t>指标说明：专利被纳入国际、国家或行业标准中，在实施标准时无法避开且必须使用（不限年份）。</w:t>
            </w:r>
          </w:p>
          <w:p>
            <w:pPr>
              <w:adjustRightInd/>
              <w:spacing w:line="240" w:lineRule="auto"/>
              <w:jc w:val="left"/>
              <w:rPr>
                <w:rFonts w:hint="eastAsia" w:ascii="宋体" w:hAnsi="宋体" w:cs="宋体"/>
              </w:rPr>
            </w:pPr>
            <w:r>
              <w:rPr>
                <w:rFonts w:ascii="宋体" w:hAnsi="宋体" w:cs="宋体"/>
              </w:rPr>
              <w:t>数据来源：国家知识产权局。</w:t>
            </w: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0" w:type="auto"/>
            <w:vMerge w:val="continue"/>
            <w:tcBorders>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highlight w:val="none"/>
              </w:rPr>
            </w:pP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center"/>
              <w:rPr>
                <w:rFonts w:hint="default" w:ascii="宋体" w:hAnsi="宋体" w:eastAsia="宋体" w:cs="宋体"/>
                <w:highlight w:val="none"/>
                <w:lang w:val="en-US" w:eastAsia="zh-CN"/>
              </w:rPr>
            </w:pPr>
            <w:r>
              <w:rPr>
                <w:rFonts w:hint="eastAsia" w:ascii="宋体" w:hAnsi="宋体" w:cs="宋体"/>
                <w:highlight w:val="none"/>
                <w:lang w:eastAsia="zh-CN"/>
              </w:rPr>
              <w:t>官方认定荣誉</w:t>
            </w:r>
            <w:r>
              <w:rPr>
                <w:rFonts w:hint="eastAsia" w:ascii="宋体" w:hAnsi="宋体" w:cs="宋体"/>
                <w:highlight w:val="none"/>
                <w:lang w:val="en-US" w:eastAsia="zh-CN"/>
              </w:rPr>
              <w:t>D3</w:t>
            </w: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left"/>
              <w:rPr>
                <w:rFonts w:hint="eastAsia" w:ascii="宋体" w:hAnsi="宋体" w:eastAsia="宋体" w:cs="宋体"/>
                <w:highlight w:val="none"/>
                <w:lang w:eastAsia="zh-CN"/>
              </w:rPr>
            </w:pPr>
            <w:r>
              <w:rPr>
                <w:rFonts w:hint="eastAsia" w:ascii="宋体" w:hAnsi="宋体" w:cs="宋体"/>
                <w:highlight w:val="none"/>
                <w:lang w:eastAsia="zh-CN"/>
              </w:rPr>
              <w:t>指标说明：专利代理机构获评国家或省级发展改革部门认定的服务业领军企业，多次获评的计一次。</w:t>
            </w:r>
          </w:p>
          <w:p>
            <w:pPr>
              <w:adjustRightInd/>
              <w:spacing w:line="240" w:lineRule="auto"/>
              <w:jc w:val="left"/>
              <w:rPr>
                <w:rFonts w:ascii="宋体" w:hAnsi="宋体" w:cs="宋体"/>
                <w:highlight w:val="none"/>
              </w:rPr>
            </w:pPr>
            <w:r>
              <w:rPr>
                <w:rFonts w:ascii="宋体" w:hAnsi="宋体" w:cs="宋体"/>
                <w:highlight w:val="none"/>
              </w:rPr>
              <w:t>注：</w:t>
            </w:r>
            <w:r>
              <w:rPr>
                <w:rFonts w:hint="eastAsia" w:ascii="宋体" w:hAnsi="宋体" w:cs="宋体"/>
                <w:highlight w:val="none"/>
              </w:rPr>
              <w:t>首次评价不限年份，第二次评价及往后评价，取该评价周期内</w:t>
            </w:r>
            <w:r>
              <w:rPr>
                <w:rFonts w:hint="eastAsia" w:ascii="宋体" w:hAnsi="宋体" w:cs="宋体"/>
                <w:highlight w:val="none"/>
                <w:lang w:eastAsia="zh-CN"/>
              </w:rPr>
              <w:t>的数据</w:t>
            </w:r>
            <w:r>
              <w:rPr>
                <w:rFonts w:ascii="宋体" w:hAnsi="宋体" w:cs="宋体"/>
                <w:highlight w:val="none"/>
              </w:rPr>
              <w:t>。</w:t>
            </w:r>
          </w:p>
          <w:p>
            <w:pPr>
              <w:adjustRightInd/>
              <w:spacing w:line="240" w:lineRule="auto"/>
              <w:jc w:val="left"/>
              <w:rPr>
                <w:rFonts w:hint="eastAsia" w:ascii="宋体" w:hAnsi="宋体" w:eastAsia="宋体" w:cs="宋体"/>
                <w:highlight w:val="none"/>
                <w:lang w:eastAsia="zh-CN"/>
              </w:rPr>
            </w:pPr>
            <w:r>
              <w:rPr>
                <w:rFonts w:hint="eastAsia" w:ascii="宋体" w:hAnsi="宋体" w:cs="宋体"/>
                <w:highlight w:val="none"/>
                <w:lang w:eastAsia="zh-CN"/>
              </w:rPr>
              <w:t>数据来源：国家或省级发展和改革委员会官网。</w:t>
            </w:r>
          </w:p>
        </w:tc>
        <w:tc>
          <w:tcPr>
            <w:tcW w:w="0" w:type="auto"/>
            <w:tcBorders>
              <w:top w:val="single" w:color="auto" w:sz="4" w:space="0"/>
              <w:left w:val="nil"/>
              <w:bottom w:val="single" w:color="auto" w:sz="4" w:space="0"/>
              <w:right w:val="single" w:color="auto" w:sz="4" w:space="0"/>
            </w:tcBorders>
            <w:vAlign w:val="center"/>
          </w:tcPr>
          <w:p>
            <w:pPr>
              <w:adjustRightInd/>
              <w:spacing w:line="240" w:lineRule="auto"/>
              <w:jc w:val="center"/>
              <w:rPr>
                <w:rFonts w:ascii="宋体" w:hAnsi="宋体" w:cs="宋体"/>
              </w:rPr>
            </w:pPr>
            <w:r>
              <w:rPr>
                <w:rFonts w:hint="eastAsia" w:ascii="宋体" w:hAnsi="宋体" w:cs="宋体"/>
              </w:rPr>
              <w:t>-</w:t>
            </w:r>
          </w:p>
        </w:tc>
      </w:tr>
      <w:bookmarkEnd w:id="104"/>
    </w:tbl>
    <w:p>
      <w:pPr>
        <w:pStyle w:val="77"/>
        <w:numPr>
          <w:ilvl w:val="0"/>
          <w:numId w:val="0"/>
        </w:numPr>
        <w:spacing w:before="120" w:after="120"/>
      </w:pPr>
    </w:p>
    <w:p>
      <w:pPr>
        <w:pStyle w:val="56"/>
      </w:pPr>
    </w:p>
    <w:p>
      <w:pPr>
        <w:pStyle w:val="56"/>
      </w:pPr>
    </w:p>
    <w:p>
      <w:r>
        <w:br w:type="page"/>
      </w:r>
    </w:p>
    <w:p>
      <w:pPr>
        <w:pStyle w:val="56"/>
        <w:ind w:left="0" w:leftChars="0" w:firstLine="0" w:firstLineChars="0"/>
      </w:pPr>
      <w:bookmarkStart w:id="108" w:name="_GoBack"/>
      <w:bookmarkEnd w:id="108"/>
    </w:p>
    <w:p>
      <w:pPr>
        <w:pStyle w:val="76"/>
        <w:spacing w:after="120"/>
        <w:rPr>
          <w:rFonts w:hint="default" w:eastAsia="黑体"/>
          <w:lang w:val="en-US" w:eastAsia="zh-CN"/>
        </w:rPr>
      </w:pPr>
      <w:bookmarkStart w:id="105" w:name="_Toc1053841461"/>
      <w:r>
        <w:br w:type="textWrapping"/>
      </w:r>
      <w:r>
        <w:rPr>
          <w:rFonts w:hint="eastAsia"/>
        </w:rPr>
        <w:t>（规范性）</w:t>
      </w:r>
      <w:r>
        <w:br w:type="textWrapping"/>
      </w:r>
      <w:r>
        <w:rPr>
          <w:rFonts w:hint="eastAsia"/>
        </w:rPr>
        <w:t>专利代理机构能力无感评价</w:t>
      </w:r>
      <w:r>
        <w:rPr>
          <w:rFonts w:hint="eastAsia"/>
          <w:lang w:val="en-US" w:eastAsia="zh-CN"/>
        </w:rPr>
        <w:t>内容及具体分值</w:t>
      </w:r>
      <w:bookmarkEnd w:id="105"/>
    </w:p>
    <w:tbl>
      <w:tblPr>
        <w:tblStyle w:val="231"/>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904"/>
        <w:gridCol w:w="1284"/>
        <w:gridCol w:w="1376"/>
        <w:gridCol w:w="1165"/>
        <w:gridCol w:w="186"/>
        <w:gridCol w:w="1040"/>
        <w:gridCol w:w="311"/>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8" w:space="0"/>
              <w:bottom w:val="single" w:color="auto" w:sz="8" w:space="0"/>
            </w:tcBorders>
            <w:vAlign w:val="center"/>
          </w:tcPr>
          <w:p>
            <w:pPr>
              <w:autoSpaceDE w:val="0"/>
              <w:adjustRightInd/>
              <w:spacing w:line="240" w:lineRule="auto"/>
              <w:jc w:val="center"/>
              <w:rPr>
                <w:rFonts w:ascii="宋体" w:hAnsi="宋体" w:eastAsia="Times New Roman" w:cs="宋体"/>
              </w:rPr>
            </w:pPr>
            <w:bookmarkStart w:id="106" w:name="OLE_LINK25"/>
            <w:r>
              <w:rPr>
                <w:rFonts w:ascii="宋体" w:hAnsi="宋体" w:eastAsia="Times New Roman" w:cs="宋体"/>
                <w:lang w:bidi="ar"/>
              </w:rPr>
              <w:t>一级指标</w:t>
            </w:r>
          </w:p>
        </w:tc>
        <w:tc>
          <w:tcPr>
            <w:tcW w:w="904" w:type="dxa"/>
            <w:tcBorders>
              <w:top w:val="single" w:color="auto" w:sz="8" w:space="0"/>
              <w:bottom w:val="single" w:color="auto" w:sz="8" w:space="0"/>
            </w:tcBorders>
            <w:vAlign w:val="center"/>
          </w:tcPr>
          <w:p>
            <w:pPr>
              <w:autoSpaceDE w:val="0"/>
              <w:adjustRightInd/>
              <w:spacing w:line="240" w:lineRule="auto"/>
              <w:jc w:val="center"/>
              <w:rPr>
                <w:rFonts w:ascii="宋体" w:hAnsi="宋体" w:eastAsia="Times New Roman" w:cs="宋体"/>
                <w:lang w:bidi="ar"/>
              </w:rPr>
            </w:pPr>
            <w:r>
              <w:rPr>
                <w:rFonts w:ascii="宋体" w:hAnsi="宋体" w:eastAsia="Times New Roman" w:cs="宋体"/>
                <w:lang w:bidi="ar"/>
              </w:rPr>
              <w:t>二级</w:t>
            </w:r>
          </w:p>
          <w:p>
            <w:pPr>
              <w:autoSpaceDE w:val="0"/>
              <w:adjustRightInd/>
              <w:spacing w:line="240" w:lineRule="auto"/>
              <w:jc w:val="center"/>
              <w:rPr>
                <w:rFonts w:ascii="宋体" w:hAnsi="宋体" w:eastAsia="Times New Roman" w:cs="宋体"/>
              </w:rPr>
            </w:pPr>
            <w:r>
              <w:rPr>
                <w:rFonts w:ascii="宋体" w:hAnsi="宋体" w:eastAsia="Times New Roman" w:cs="宋体"/>
                <w:lang w:bidi="ar"/>
              </w:rPr>
              <w:t>指标</w:t>
            </w:r>
          </w:p>
        </w:tc>
        <w:tc>
          <w:tcPr>
            <w:tcW w:w="6729" w:type="dxa"/>
            <w:gridSpan w:val="7"/>
            <w:tcBorders>
              <w:top w:val="single" w:color="auto" w:sz="8" w:space="0"/>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评定内容及具体分值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99" w:type="dxa"/>
            <w:vMerge w:val="restart"/>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服务能力A</w:t>
            </w:r>
          </w:p>
        </w:tc>
        <w:tc>
          <w:tcPr>
            <w:tcW w:w="904" w:type="dxa"/>
            <w:vMerge w:val="restart"/>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硕博士学历人数占比A1</w:t>
            </w:r>
          </w:p>
        </w:tc>
        <w:tc>
          <w:tcPr>
            <w:tcW w:w="6729" w:type="dxa"/>
            <w:gridSpan w:val="7"/>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最低</w:t>
            </w:r>
            <w:r>
              <w:rPr>
                <w:rFonts w:hint="eastAsia" w:ascii="宋体" w:hAnsi="宋体" w:eastAsia="宋体" w:cs="宋体"/>
                <w:lang w:val="en-US" w:eastAsia="zh-CN" w:bidi="ar"/>
              </w:rPr>
              <w:t>60</w:t>
            </w:r>
            <w:r>
              <w:rPr>
                <w:rFonts w:ascii="宋体" w:hAnsi="宋体" w:eastAsia="Times New Roman" w:cs="宋体"/>
                <w:lang w:bidi="ar"/>
              </w:rPr>
              <w:t>分，最高</w:t>
            </w:r>
            <w:r>
              <w:rPr>
                <w:rFonts w:hint="eastAsia" w:ascii="宋体" w:hAnsi="宋体" w:eastAsia="宋体" w:cs="宋体"/>
                <w:lang w:val="en-US" w:eastAsia="zh-CN" w:bidi="ar"/>
              </w:rPr>
              <w:t>100</w:t>
            </w:r>
            <w:r>
              <w:rPr>
                <w:rFonts w:ascii="宋体" w:hAnsi="宋体" w:eastAsia="Times New Roman" w:cs="宋体"/>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vAlign w:val="center"/>
          </w:tcPr>
          <w:p>
            <w:pPr>
              <w:adjustRightInd/>
              <w:spacing w:line="240" w:lineRule="auto"/>
              <w:rPr>
                <w:rFonts w:ascii="宋体" w:hAnsi="宋体" w:eastAsia="Times New Roman" w:cs="宋体"/>
              </w:rPr>
            </w:pPr>
          </w:p>
        </w:tc>
        <w:tc>
          <w:tcPr>
            <w:tcW w:w="1284"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60</w:t>
            </w:r>
          </w:p>
        </w:tc>
        <w:tc>
          <w:tcPr>
            <w:tcW w:w="1376"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70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80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90</w:t>
            </w:r>
          </w:p>
        </w:tc>
        <w:tc>
          <w:tcPr>
            <w:tcW w:w="1367"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1284"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0.00%≤A1＜5.00%</w:t>
            </w:r>
          </w:p>
        </w:tc>
        <w:tc>
          <w:tcPr>
            <w:tcW w:w="1376"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5.00%≤A1＜10.00%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10.00%≤A1＜15.00%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15.00%≤A1＜20.00%</w:t>
            </w:r>
          </w:p>
        </w:tc>
        <w:tc>
          <w:tcPr>
            <w:tcW w:w="1367"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20.00%≤A1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restart"/>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拥有法律</w:t>
            </w:r>
            <w:r>
              <w:rPr>
                <w:rFonts w:hint="eastAsia" w:ascii="宋体" w:hAnsi="宋体" w:eastAsia="Times New Roman" w:cs="宋体"/>
                <w:lang w:eastAsia="zh-CN" w:bidi="ar"/>
              </w:rPr>
              <w:t>职业</w:t>
            </w:r>
            <w:r>
              <w:rPr>
                <w:rFonts w:ascii="宋体" w:hAnsi="宋体" w:eastAsia="Times New Roman" w:cs="宋体"/>
                <w:lang w:bidi="ar"/>
              </w:rPr>
              <w:t>资格证人数占比A2</w:t>
            </w:r>
          </w:p>
        </w:tc>
        <w:tc>
          <w:tcPr>
            <w:tcW w:w="6729" w:type="dxa"/>
            <w:gridSpan w:val="7"/>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最低</w:t>
            </w:r>
            <w:r>
              <w:rPr>
                <w:rFonts w:hint="eastAsia" w:ascii="宋体" w:hAnsi="宋体" w:eastAsia="宋体" w:cs="宋体"/>
                <w:lang w:val="en-US" w:eastAsia="zh-CN" w:bidi="ar"/>
              </w:rPr>
              <w:t>60</w:t>
            </w:r>
            <w:r>
              <w:rPr>
                <w:rFonts w:ascii="宋体" w:hAnsi="宋体" w:eastAsia="Times New Roman" w:cs="宋体"/>
                <w:lang w:bidi="ar"/>
              </w:rPr>
              <w:t>分，最高</w:t>
            </w:r>
            <w:r>
              <w:rPr>
                <w:rFonts w:hint="eastAsia" w:ascii="宋体" w:hAnsi="宋体" w:eastAsia="宋体" w:cs="宋体"/>
                <w:lang w:val="en-US" w:eastAsia="zh-CN" w:bidi="ar"/>
              </w:rPr>
              <w:t>100</w:t>
            </w:r>
            <w:r>
              <w:rPr>
                <w:rFonts w:ascii="宋体" w:hAnsi="宋体" w:eastAsia="Times New Roman" w:cs="宋体"/>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vAlign w:val="center"/>
          </w:tcPr>
          <w:p>
            <w:pPr>
              <w:adjustRightInd/>
              <w:spacing w:line="240" w:lineRule="auto"/>
              <w:rPr>
                <w:rFonts w:ascii="宋体" w:hAnsi="宋体" w:eastAsia="Times New Roman" w:cs="宋体"/>
              </w:rPr>
            </w:pPr>
          </w:p>
        </w:tc>
        <w:tc>
          <w:tcPr>
            <w:tcW w:w="1284"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60</w:t>
            </w:r>
          </w:p>
        </w:tc>
        <w:tc>
          <w:tcPr>
            <w:tcW w:w="1376"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70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80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90</w:t>
            </w:r>
          </w:p>
        </w:tc>
        <w:tc>
          <w:tcPr>
            <w:tcW w:w="1367"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1284"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0.00%≤A2＜20.00%</w:t>
            </w:r>
          </w:p>
        </w:tc>
        <w:tc>
          <w:tcPr>
            <w:tcW w:w="1376"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20.00%≤A2＜30.00%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30.00%≤A2＜40.00%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40.00%≤A2＜50.00%</w:t>
            </w:r>
          </w:p>
        </w:tc>
        <w:tc>
          <w:tcPr>
            <w:tcW w:w="1367"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50.00%≤A2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restart"/>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具有诉讼代理人资格人数占比A3</w:t>
            </w:r>
          </w:p>
        </w:tc>
        <w:tc>
          <w:tcPr>
            <w:tcW w:w="6729" w:type="dxa"/>
            <w:gridSpan w:val="7"/>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最低</w:t>
            </w:r>
            <w:r>
              <w:rPr>
                <w:rFonts w:hint="eastAsia" w:ascii="宋体" w:hAnsi="宋体" w:eastAsia="宋体" w:cs="宋体"/>
                <w:lang w:val="en-US" w:eastAsia="zh-CN" w:bidi="ar"/>
              </w:rPr>
              <w:t>60</w:t>
            </w:r>
            <w:r>
              <w:rPr>
                <w:rFonts w:ascii="宋体" w:hAnsi="宋体" w:eastAsia="Times New Roman" w:cs="宋体"/>
                <w:lang w:bidi="ar"/>
              </w:rPr>
              <w:t>分，最高</w:t>
            </w:r>
            <w:r>
              <w:rPr>
                <w:rFonts w:hint="eastAsia" w:ascii="宋体" w:hAnsi="宋体" w:eastAsia="宋体" w:cs="宋体"/>
                <w:lang w:val="en-US" w:eastAsia="zh-CN" w:bidi="ar"/>
              </w:rPr>
              <w:t>100</w:t>
            </w:r>
            <w:r>
              <w:rPr>
                <w:rFonts w:ascii="宋体" w:hAnsi="宋体" w:eastAsia="Times New Roman" w:cs="宋体"/>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vAlign w:val="center"/>
          </w:tcPr>
          <w:p>
            <w:pPr>
              <w:adjustRightInd/>
              <w:spacing w:line="240" w:lineRule="auto"/>
              <w:rPr>
                <w:rFonts w:ascii="宋体" w:hAnsi="宋体" w:eastAsia="Times New Roman" w:cs="宋体"/>
              </w:rPr>
            </w:pPr>
          </w:p>
        </w:tc>
        <w:tc>
          <w:tcPr>
            <w:tcW w:w="1284"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60</w:t>
            </w:r>
          </w:p>
        </w:tc>
        <w:tc>
          <w:tcPr>
            <w:tcW w:w="1376"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70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80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90</w:t>
            </w:r>
          </w:p>
        </w:tc>
        <w:tc>
          <w:tcPr>
            <w:tcW w:w="1367"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99"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904"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1284"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0.00%≤A3＜20.00%</w:t>
            </w:r>
          </w:p>
        </w:tc>
        <w:tc>
          <w:tcPr>
            <w:tcW w:w="1376"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20.00%≤A3＜30.00%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30.00%≤A3＜40.00%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40.00%≤A3＜50.00%</w:t>
            </w:r>
          </w:p>
        </w:tc>
        <w:tc>
          <w:tcPr>
            <w:tcW w:w="1367" w:type="dxa"/>
            <w:tcBorders>
              <w:bottom w:val="single" w:color="auto" w:sz="8" w:space="0"/>
            </w:tcBorders>
            <w:vAlign w:val="center"/>
          </w:tcPr>
          <w:p>
            <w:pPr>
              <w:autoSpaceDE w:val="0"/>
              <w:adjustRightInd/>
              <w:spacing w:line="240" w:lineRule="auto"/>
              <w:jc w:val="center"/>
              <w:rPr>
                <w:rFonts w:hint="eastAsia" w:ascii="宋体" w:hAnsi="宋体" w:eastAsia="宋体" w:cs="宋体"/>
                <w:lang w:val="en-US" w:eastAsia="zh-CN"/>
              </w:rPr>
            </w:pPr>
            <w:r>
              <w:rPr>
                <w:rFonts w:ascii="宋体" w:hAnsi="宋体" w:eastAsia="Times New Roman" w:cs="宋体"/>
                <w:lang w:bidi="ar"/>
              </w:rPr>
              <w:t>50.00%≤A</w:t>
            </w:r>
            <w:r>
              <w:rPr>
                <w:rFonts w:hint="eastAsia" w:ascii="宋体" w:hAnsi="宋体" w:eastAsia="宋体" w:cs="宋体"/>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99" w:type="dxa"/>
            <w:vMerge w:val="restart"/>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执业能力B</w:t>
            </w:r>
          </w:p>
        </w:tc>
        <w:tc>
          <w:tcPr>
            <w:tcW w:w="904" w:type="dxa"/>
            <w:vMerge w:val="restart"/>
            <w:tcBorders>
              <w:top w:val="single" w:color="auto" w:sz="8" w:space="0"/>
            </w:tcBorders>
            <w:vAlign w:val="center"/>
          </w:tcPr>
          <w:p>
            <w:pPr>
              <w:autoSpaceDE w:val="0"/>
              <w:adjustRightInd/>
              <w:spacing w:line="240" w:lineRule="auto"/>
              <w:jc w:val="center"/>
              <w:rPr>
                <w:rFonts w:hint="eastAsia" w:ascii="宋体" w:hAnsi="宋体" w:eastAsia="Times New Roman" w:cs="宋体"/>
                <w:color w:val="171A1D"/>
                <w:sz w:val="22"/>
                <w:szCs w:val="22"/>
                <w:shd w:val="clear" w:color="auto" w:fill="FFFFFF"/>
                <w:lang w:eastAsia="zh-CN"/>
              </w:rPr>
            </w:pPr>
            <w:r>
              <w:rPr>
                <w:rFonts w:hint="eastAsia" w:ascii="宋体" w:hAnsi="宋体" w:eastAsia="Times New Roman" w:cs="宋体"/>
                <w:color w:val="171A1D"/>
                <w:sz w:val="22"/>
                <w:szCs w:val="22"/>
                <w:shd w:val="clear" w:color="auto" w:fill="FFFFFF"/>
                <w:lang w:eastAsia="zh-CN"/>
              </w:rPr>
              <w:t>代理</w:t>
            </w:r>
          </w:p>
          <w:p>
            <w:pPr>
              <w:autoSpaceDE w:val="0"/>
              <w:adjustRightInd/>
              <w:spacing w:line="240" w:lineRule="auto"/>
              <w:jc w:val="center"/>
              <w:rPr>
                <w:rFonts w:hint="eastAsia" w:ascii="宋体" w:hAnsi="宋体" w:eastAsia="Times New Roman" w:cs="宋体"/>
                <w:color w:val="171A1D"/>
                <w:sz w:val="22"/>
                <w:szCs w:val="22"/>
                <w:shd w:val="clear" w:color="auto" w:fill="FFFFFF"/>
              </w:rPr>
            </w:pPr>
            <w:r>
              <w:rPr>
                <w:rFonts w:hint="eastAsia" w:ascii="宋体" w:hAnsi="宋体" w:eastAsia="Times New Roman" w:cs="宋体"/>
                <w:color w:val="171A1D"/>
                <w:sz w:val="22"/>
                <w:szCs w:val="22"/>
                <w:shd w:val="clear" w:color="auto" w:fill="FFFFFF"/>
              </w:rPr>
              <w:t>发明</w:t>
            </w:r>
          </w:p>
          <w:p>
            <w:pPr>
              <w:autoSpaceDE w:val="0"/>
              <w:adjustRightInd/>
              <w:spacing w:line="240" w:lineRule="auto"/>
              <w:jc w:val="center"/>
              <w:rPr>
                <w:rFonts w:hint="eastAsia" w:ascii="宋体" w:hAnsi="宋体" w:eastAsia="宋体" w:cs="宋体"/>
                <w:sz w:val="24"/>
                <w:szCs w:val="24"/>
                <w:lang w:val="en-US" w:eastAsia="zh-CN"/>
              </w:rPr>
            </w:pPr>
            <w:r>
              <w:rPr>
                <w:rFonts w:hint="eastAsia" w:ascii="宋体" w:hAnsi="宋体" w:eastAsia="Times New Roman" w:cs="宋体"/>
                <w:color w:val="171A1D"/>
                <w:sz w:val="22"/>
                <w:szCs w:val="22"/>
                <w:shd w:val="clear" w:color="auto" w:fill="FFFFFF"/>
              </w:rPr>
              <w:t>专利申请量B</w:t>
            </w:r>
            <w:r>
              <w:rPr>
                <w:rFonts w:hint="eastAsia" w:ascii="宋体" w:hAnsi="宋体" w:eastAsia="Times New Roman" w:cs="宋体"/>
                <w:color w:val="171A1D"/>
                <w:sz w:val="22"/>
                <w:szCs w:val="22"/>
                <w:shd w:val="clear" w:color="auto" w:fill="FFFFFF"/>
                <w:lang w:val="en-US" w:eastAsia="zh-CN"/>
              </w:rPr>
              <w:t>1</w:t>
            </w:r>
          </w:p>
        </w:tc>
        <w:tc>
          <w:tcPr>
            <w:tcW w:w="6729" w:type="dxa"/>
            <w:gridSpan w:val="7"/>
            <w:tcBorders>
              <w:top w:val="single" w:color="auto" w:sz="8" w:space="0"/>
            </w:tcBorders>
            <w:vAlign w:val="center"/>
          </w:tcPr>
          <w:p>
            <w:pPr>
              <w:autoSpaceDE w:val="0"/>
              <w:adjustRightInd/>
              <w:spacing w:line="240" w:lineRule="auto"/>
              <w:jc w:val="center"/>
              <w:rPr>
                <w:rFonts w:ascii="宋体" w:hAnsi="宋体" w:eastAsia="Times New Roman" w:cs="宋体"/>
                <w:lang w:bidi="ar"/>
              </w:rPr>
            </w:pPr>
            <w:r>
              <w:rPr>
                <w:rFonts w:hint="eastAsia" w:ascii="宋体" w:hAnsi="宋体" w:eastAsia="Times New Roman" w:cs="宋体"/>
                <w:lang w:bidi="ar"/>
              </w:rPr>
              <w:t>最低</w:t>
            </w:r>
            <w:r>
              <w:rPr>
                <w:rFonts w:hint="eastAsia" w:ascii="宋体" w:hAnsi="宋体" w:eastAsia="宋体" w:cs="宋体"/>
                <w:lang w:val="en-US" w:eastAsia="zh-CN" w:bidi="ar"/>
              </w:rPr>
              <w:t>20</w:t>
            </w:r>
            <w:r>
              <w:rPr>
                <w:rFonts w:hint="eastAsia" w:ascii="宋体" w:hAnsi="宋体" w:eastAsia="Times New Roman" w:cs="宋体"/>
                <w:lang w:bidi="ar"/>
              </w:rPr>
              <w:t>分，最高</w:t>
            </w:r>
            <w:r>
              <w:rPr>
                <w:rFonts w:hint="eastAsia" w:ascii="宋体" w:hAnsi="宋体" w:eastAsia="宋体" w:cs="宋体"/>
                <w:lang w:val="en-US" w:eastAsia="zh-CN" w:bidi="ar"/>
              </w:rPr>
              <w:t>100</w:t>
            </w:r>
            <w:r>
              <w:rPr>
                <w:rFonts w:hint="eastAsia" w:ascii="宋体" w:hAnsi="宋体" w:eastAsia="Times New Roman" w:cs="宋体"/>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99" w:type="dxa"/>
            <w:vMerge w:val="continue"/>
            <w:vAlign w:val="center"/>
          </w:tcPr>
          <w:p>
            <w:pPr>
              <w:autoSpaceDE w:val="0"/>
              <w:adjustRightInd/>
              <w:spacing w:line="240" w:lineRule="auto"/>
              <w:jc w:val="center"/>
              <w:rPr>
                <w:rFonts w:ascii="宋体" w:hAnsi="宋体" w:eastAsia="Times New Roman" w:cs="宋体"/>
                <w:lang w:bidi="ar"/>
              </w:rPr>
            </w:pPr>
          </w:p>
        </w:tc>
        <w:tc>
          <w:tcPr>
            <w:tcW w:w="904" w:type="dxa"/>
            <w:vMerge w:val="continue"/>
            <w:vAlign w:val="center"/>
          </w:tcPr>
          <w:p>
            <w:pPr>
              <w:autoSpaceDE w:val="0"/>
              <w:adjustRightInd/>
              <w:spacing w:line="240" w:lineRule="auto"/>
              <w:jc w:val="center"/>
              <w:rPr>
                <w:rFonts w:ascii="宋体" w:hAnsi="宋体" w:eastAsia="Times New Roman" w:cs="宋体"/>
                <w:sz w:val="24"/>
                <w:szCs w:val="24"/>
              </w:rPr>
            </w:pPr>
          </w:p>
        </w:tc>
        <w:tc>
          <w:tcPr>
            <w:tcW w:w="1284" w:type="dxa"/>
            <w:vAlign w:val="center"/>
          </w:tcPr>
          <w:p>
            <w:pPr>
              <w:keepNext w:val="0"/>
              <w:keepLines w:val="0"/>
              <w:widowControl/>
              <w:suppressLineNumbers w:val="0"/>
              <w:jc w:val="center"/>
              <w:textAlignment w:val="center"/>
              <w:rPr>
                <w:rFonts w:hint="eastAsia" w:ascii="宋体" w:hAnsi="宋体" w:eastAsia="宋体" w:cs="宋体"/>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376" w:type="dxa"/>
            <w:vAlign w:val="center"/>
          </w:tcPr>
          <w:p>
            <w:pPr>
              <w:keepNext w:val="0"/>
              <w:keepLines w:val="0"/>
              <w:widowControl/>
              <w:suppressLineNumbers w:val="0"/>
              <w:jc w:val="center"/>
              <w:textAlignment w:val="center"/>
              <w:rPr>
                <w:rFonts w:hint="eastAsia" w:ascii="宋体" w:hAnsi="宋体" w:eastAsia="宋体" w:cs="宋体"/>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165" w:type="dxa"/>
            <w:vAlign w:val="center"/>
          </w:tcPr>
          <w:p>
            <w:pPr>
              <w:keepNext w:val="0"/>
              <w:keepLines w:val="0"/>
              <w:widowControl/>
              <w:suppressLineNumbers w:val="0"/>
              <w:jc w:val="center"/>
              <w:textAlignment w:val="center"/>
              <w:rPr>
                <w:rFonts w:hint="eastAsia" w:ascii="宋体" w:hAnsi="宋体" w:eastAsia="宋体" w:cs="宋体"/>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226" w:type="dxa"/>
            <w:gridSpan w:val="2"/>
            <w:vAlign w:val="center"/>
          </w:tcPr>
          <w:p>
            <w:pPr>
              <w:keepNext w:val="0"/>
              <w:keepLines w:val="0"/>
              <w:widowControl/>
              <w:suppressLineNumbers w:val="0"/>
              <w:jc w:val="center"/>
              <w:textAlignment w:val="center"/>
              <w:rPr>
                <w:rFonts w:hint="eastAsia" w:ascii="宋体" w:hAnsi="宋体" w:eastAsia="宋体" w:cs="宋体"/>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1678" w:type="dxa"/>
            <w:gridSpan w:val="2"/>
            <w:vAlign w:val="center"/>
          </w:tcPr>
          <w:p>
            <w:pPr>
              <w:keepNext w:val="0"/>
              <w:keepLines w:val="0"/>
              <w:widowControl/>
              <w:suppressLineNumbers w:val="0"/>
              <w:jc w:val="center"/>
              <w:textAlignment w:val="center"/>
              <w:rPr>
                <w:rFonts w:hint="eastAsia" w:ascii="宋体" w:hAnsi="宋体" w:eastAsia="宋体" w:cs="宋体"/>
                <w:lang w:val="en-US" w:eastAsia="zh-CN" w:bidi="ar"/>
              </w:rPr>
            </w:pPr>
            <w:r>
              <w:rPr>
                <w:rFonts w:hint="eastAsia" w:ascii="宋体" w:hAnsi="宋体" w:eastAsia="宋体" w:cs="宋体"/>
                <w:i w:val="0"/>
                <w:iCs w:val="0"/>
                <w:color w:val="000000"/>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99" w:type="dxa"/>
            <w:vMerge w:val="continue"/>
            <w:vAlign w:val="center"/>
          </w:tcPr>
          <w:p>
            <w:pPr>
              <w:autoSpaceDE w:val="0"/>
              <w:adjustRightInd/>
              <w:spacing w:line="240" w:lineRule="auto"/>
              <w:jc w:val="center"/>
              <w:rPr>
                <w:rFonts w:ascii="宋体" w:hAnsi="宋体" w:eastAsia="Times New Roman" w:cs="宋体"/>
                <w:lang w:bidi="ar"/>
              </w:rPr>
            </w:pPr>
          </w:p>
        </w:tc>
        <w:tc>
          <w:tcPr>
            <w:tcW w:w="904" w:type="dxa"/>
            <w:vMerge w:val="continue"/>
            <w:tcBorders>
              <w:bottom w:val="single" w:color="auto" w:sz="8" w:space="0"/>
            </w:tcBorders>
            <w:vAlign w:val="center"/>
          </w:tcPr>
          <w:p>
            <w:pPr>
              <w:autoSpaceDE w:val="0"/>
              <w:adjustRightInd/>
              <w:spacing w:line="240" w:lineRule="auto"/>
              <w:jc w:val="center"/>
              <w:rPr>
                <w:rFonts w:ascii="宋体" w:hAnsi="宋体" w:eastAsia="Times New Roman" w:cs="宋体"/>
                <w:sz w:val="24"/>
                <w:szCs w:val="24"/>
              </w:rPr>
            </w:pPr>
          </w:p>
        </w:tc>
        <w:tc>
          <w:tcPr>
            <w:tcW w:w="1284" w:type="dxa"/>
            <w:tcBorders>
              <w:bottom w:val="single" w:color="auto" w:sz="8" w:space="0"/>
            </w:tcBorders>
            <w:vAlign w:val="center"/>
          </w:tcPr>
          <w:p>
            <w:pPr>
              <w:autoSpaceDE w:val="0"/>
              <w:adjustRightInd/>
              <w:spacing w:line="240" w:lineRule="auto"/>
              <w:jc w:val="center"/>
              <w:rPr>
                <w:rFonts w:ascii="宋体" w:hAnsi="宋体" w:eastAsia="Times New Roman" w:cs="宋体"/>
                <w:lang w:bidi="ar"/>
              </w:rPr>
            </w:pPr>
            <w:r>
              <w:rPr>
                <w:rFonts w:hint="eastAsia" w:ascii="宋体" w:hAnsi="宋体" w:eastAsia="Times New Roman" w:cs="宋体"/>
                <w:lang w:bidi="ar"/>
              </w:rPr>
              <w:t>0≤B2＜100</w:t>
            </w:r>
          </w:p>
        </w:tc>
        <w:tc>
          <w:tcPr>
            <w:tcW w:w="1376" w:type="dxa"/>
            <w:tcBorders>
              <w:bottom w:val="single" w:color="auto" w:sz="8" w:space="0"/>
            </w:tcBorders>
            <w:vAlign w:val="center"/>
          </w:tcPr>
          <w:p>
            <w:pPr>
              <w:autoSpaceDE w:val="0"/>
              <w:adjustRightInd/>
              <w:spacing w:line="240" w:lineRule="auto"/>
              <w:jc w:val="center"/>
              <w:rPr>
                <w:rFonts w:hint="eastAsia" w:ascii="宋体" w:hAnsi="宋体" w:eastAsia="Times New Roman" w:cs="宋体"/>
                <w:lang w:bidi="ar"/>
              </w:rPr>
            </w:pPr>
            <w:r>
              <w:rPr>
                <w:rFonts w:hint="eastAsia" w:ascii="宋体" w:hAnsi="宋体" w:eastAsia="Times New Roman" w:cs="宋体"/>
                <w:lang w:bidi="ar"/>
              </w:rPr>
              <w:t>100≤B2</w:t>
            </w:r>
          </w:p>
          <w:p>
            <w:pPr>
              <w:autoSpaceDE w:val="0"/>
              <w:adjustRightInd/>
              <w:spacing w:line="240" w:lineRule="auto"/>
              <w:jc w:val="center"/>
              <w:rPr>
                <w:rFonts w:ascii="宋体" w:hAnsi="宋体" w:eastAsia="Times New Roman" w:cs="宋体"/>
                <w:lang w:bidi="ar"/>
              </w:rPr>
            </w:pPr>
            <w:r>
              <w:rPr>
                <w:rFonts w:hint="eastAsia" w:ascii="宋体" w:hAnsi="宋体" w:eastAsia="Times New Roman" w:cs="宋体"/>
                <w:lang w:bidi="ar"/>
              </w:rPr>
              <w:t>＜300</w:t>
            </w:r>
          </w:p>
        </w:tc>
        <w:tc>
          <w:tcPr>
            <w:tcW w:w="1165" w:type="dxa"/>
            <w:tcBorders>
              <w:bottom w:val="single" w:color="auto" w:sz="8" w:space="0"/>
            </w:tcBorders>
            <w:vAlign w:val="center"/>
          </w:tcPr>
          <w:p>
            <w:pPr>
              <w:autoSpaceDE w:val="0"/>
              <w:adjustRightInd/>
              <w:spacing w:line="240" w:lineRule="auto"/>
              <w:jc w:val="center"/>
              <w:rPr>
                <w:rFonts w:hint="eastAsia" w:ascii="宋体" w:hAnsi="宋体" w:eastAsia="Times New Roman" w:cs="宋体"/>
                <w:lang w:bidi="ar"/>
              </w:rPr>
            </w:pPr>
            <w:r>
              <w:rPr>
                <w:rFonts w:hint="eastAsia" w:ascii="宋体" w:hAnsi="宋体" w:eastAsia="Times New Roman" w:cs="宋体"/>
                <w:lang w:bidi="ar"/>
              </w:rPr>
              <w:t>300≤B2</w:t>
            </w:r>
          </w:p>
          <w:p>
            <w:pPr>
              <w:autoSpaceDE w:val="0"/>
              <w:adjustRightInd/>
              <w:spacing w:line="240" w:lineRule="auto"/>
              <w:jc w:val="center"/>
              <w:rPr>
                <w:rFonts w:ascii="宋体" w:hAnsi="宋体" w:eastAsia="Times New Roman" w:cs="宋体"/>
                <w:lang w:bidi="ar"/>
              </w:rPr>
            </w:pPr>
            <w:r>
              <w:rPr>
                <w:rFonts w:hint="eastAsia" w:ascii="宋体" w:hAnsi="宋体" w:eastAsia="Times New Roman" w:cs="宋体"/>
                <w:lang w:bidi="ar"/>
              </w:rPr>
              <w:t>＜600</w:t>
            </w:r>
          </w:p>
        </w:tc>
        <w:tc>
          <w:tcPr>
            <w:tcW w:w="1226" w:type="dxa"/>
            <w:gridSpan w:val="2"/>
            <w:tcBorders>
              <w:bottom w:val="single" w:color="auto" w:sz="8" w:space="0"/>
            </w:tcBorders>
            <w:vAlign w:val="center"/>
          </w:tcPr>
          <w:p>
            <w:pPr>
              <w:autoSpaceDE w:val="0"/>
              <w:adjustRightInd/>
              <w:spacing w:line="240" w:lineRule="auto"/>
              <w:jc w:val="center"/>
              <w:rPr>
                <w:rFonts w:hint="eastAsia" w:ascii="宋体" w:hAnsi="宋体" w:eastAsia="Times New Roman" w:cs="宋体"/>
                <w:lang w:bidi="ar"/>
              </w:rPr>
            </w:pPr>
            <w:r>
              <w:rPr>
                <w:rFonts w:hint="eastAsia" w:ascii="宋体" w:hAnsi="宋体" w:eastAsia="Times New Roman" w:cs="宋体"/>
                <w:lang w:bidi="ar"/>
              </w:rPr>
              <w:t>600≤B2</w:t>
            </w:r>
          </w:p>
          <w:p>
            <w:pPr>
              <w:autoSpaceDE w:val="0"/>
              <w:adjustRightInd/>
              <w:spacing w:line="240" w:lineRule="auto"/>
              <w:jc w:val="center"/>
              <w:rPr>
                <w:rFonts w:ascii="宋体" w:hAnsi="宋体" w:eastAsia="Times New Roman" w:cs="宋体"/>
                <w:lang w:bidi="ar"/>
              </w:rPr>
            </w:pPr>
            <w:r>
              <w:rPr>
                <w:rFonts w:hint="eastAsia" w:ascii="宋体" w:hAnsi="宋体" w:eastAsia="Times New Roman" w:cs="宋体"/>
                <w:lang w:bidi="ar"/>
              </w:rPr>
              <w:t>＜1500</w:t>
            </w:r>
          </w:p>
        </w:tc>
        <w:tc>
          <w:tcPr>
            <w:tcW w:w="1678"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lang w:bidi="ar"/>
              </w:rPr>
            </w:pPr>
            <w:r>
              <w:rPr>
                <w:rFonts w:hint="eastAsia" w:ascii="宋体" w:hAnsi="宋体" w:eastAsia="Times New Roman" w:cs="宋体"/>
                <w:lang w:bidi="ar"/>
              </w:rPr>
              <w:t>1500≤B2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99" w:type="dxa"/>
            <w:vMerge w:val="continue"/>
            <w:vAlign w:val="center"/>
          </w:tcPr>
          <w:p>
            <w:pPr>
              <w:autoSpaceDE w:val="0"/>
              <w:adjustRightInd/>
              <w:spacing w:line="240" w:lineRule="auto"/>
              <w:jc w:val="center"/>
              <w:rPr>
                <w:rFonts w:ascii="宋体" w:hAnsi="宋体" w:eastAsia="Times New Roman" w:cs="宋体"/>
              </w:rPr>
            </w:pPr>
          </w:p>
        </w:tc>
        <w:tc>
          <w:tcPr>
            <w:tcW w:w="904" w:type="dxa"/>
            <w:vMerge w:val="restart"/>
            <w:tcBorders>
              <w:top w:val="single" w:color="auto" w:sz="8" w:space="0"/>
            </w:tcBorders>
            <w:vAlign w:val="center"/>
          </w:tcPr>
          <w:p>
            <w:pPr>
              <w:autoSpaceDE w:val="0"/>
              <w:adjustRightInd/>
              <w:spacing w:line="240" w:lineRule="auto"/>
              <w:jc w:val="center"/>
              <w:rPr>
                <w:rFonts w:hint="eastAsia" w:ascii="宋体" w:hAnsi="宋体" w:eastAsia="宋体" w:cs="宋体"/>
                <w:lang w:eastAsia="zh-CN"/>
              </w:rPr>
            </w:pPr>
            <w:r>
              <w:rPr>
                <w:rFonts w:ascii="宋体" w:hAnsi="宋体" w:eastAsia="Times New Roman" w:cs="宋体"/>
                <w:sz w:val="24"/>
                <w:szCs w:val="24"/>
              </w:rPr>
              <w:t>海外发明</w:t>
            </w:r>
            <w:r>
              <w:rPr>
                <w:rFonts w:ascii="宋体" w:hAnsi="宋体" w:eastAsia="Times New Roman" w:cs="宋体"/>
                <w:color w:val="171A1D"/>
                <w:sz w:val="22"/>
                <w:szCs w:val="22"/>
                <w:shd w:val="clear" w:color="auto" w:fill="FFFFFF"/>
              </w:rPr>
              <w:t>专利申请</w:t>
            </w:r>
            <w:r>
              <w:rPr>
                <w:rFonts w:ascii="宋体" w:hAnsi="宋体" w:eastAsia="Times New Roman" w:cs="宋体"/>
                <w:sz w:val="24"/>
                <w:szCs w:val="24"/>
              </w:rPr>
              <w:t>量</w:t>
            </w:r>
            <w:r>
              <w:rPr>
                <w:rFonts w:ascii="宋体" w:hAnsi="宋体" w:eastAsia="Times New Roman" w:cs="宋体"/>
              </w:rPr>
              <w:t>占比</w:t>
            </w:r>
            <w:r>
              <w:rPr>
                <w:rFonts w:ascii="宋体" w:hAnsi="宋体" w:eastAsia="Times New Roman" w:cs="宋体"/>
                <w:lang w:bidi="ar"/>
              </w:rPr>
              <w:t>B</w:t>
            </w:r>
            <w:r>
              <w:rPr>
                <w:rFonts w:hint="eastAsia" w:ascii="宋体" w:hAnsi="宋体" w:eastAsia="宋体" w:cs="宋体"/>
                <w:lang w:val="en-US" w:eastAsia="zh-CN" w:bidi="ar"/>
              </w:rPr>
              <w:t>2</w:t>
            </w:r>
          </w:p>
        </w:tc>
        <w:tc>
          <w:tcPr>
            <w:tcW w:w="6729" w:type="dxa"/>
            <w:gridSpan w:val="7"/>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最低</w:t>
            </w:r>
            <w:r>
              <w:rPr>
                <w:rFonts w:hint="eastAsia" w:ascii="宋体" w:hAnsi="宋体" w:eastAsia="宋体" w:cs="宋体"/>
                <w:lang w:val="en-US" w:eastAsia="zh-CN" w:bidi="ar"/>
              </w:rPr>
              <w:t>60</w:t>
            </w:r>
            <w:r>
              <w:rPr>
                <w:rFonts w:ascii="宋体" w:hAnsi="宋体" w:eastAsia="Times New Roman" w:cs="宋体"/>
                <w:lang w:bidi="ar"/>
              </w:rPr>
              <w:t>分，最高</w:t>
            </w:r>
            <w:r>
              <w:rPr>
                <w:rFonts w:hint="eastAsia" w:ascii="宋体" w:hAnsi="宋体" w:eastAsia="宋体" w:cs="宋体"/>
                <w:lang w:val="en-US" w:eastAsia="zh-CN" w:bidi="ar"/>
              </w:rPr>
              <w:t>100</w:t>
            </w:r>
            <w:r>
              <w:rPr>
                <w:rFonts w:ascii="宋体" w:hAnsi="宋体" w:eastAsia="Times New Roman" w:cs="宋体"/>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vAlign w:val="center"/>
          </w:tcPr>
          <w:p>
            <w:pPr>
              <w:adjustRightInd/>
              <w:spacing w:line="240" w:lineRule="auto"/>
              <w:rPr>
                <w:rFonts w:ascii="宋体" w:hAnsi="宋体" w:eastAsia="Times New Roman" w:cs="宋体"/>
              </w:rPr>
            </w:pPr>
          </w:p>
        </w:tc>
        <w:tc>
          <w:tcPr>
            <w:tcW w:w="1284"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60</w:t>
            </w:r>
          </w:p>
        </w:tc>
        <w:tc>
          <w:tcPr>
            <w:tcW w:w="1376"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70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80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90</w:t>
            </w:r>
          </w:p>
        </w:tc>
        <w:tc>
          <w:tcPr>
            <w:tcW w:w="1367"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1284"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0.00%≤B1＜1.00%</w:t>
            </w:r>
          </w:p>
        </w:tc>
        <w:tc>
          <w:tcPr>
            <w:tcW w:w="1376"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1.00%≤B1＜2.00%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2.00%≤B1＜3.00%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3.00%≤B1＜4.00%</w:t>
            </w:r>
          </w:p>
        </w:tc>
        <w:tc>
          <w:tcPr>
            <w:tcW w:w="1367"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4.00%≤B1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restart"/>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rPr>
              <w:t>发明专利申请领域聚类度B3</w:t>
            </w:r>
          </w:p>
        </w:tc>
        <w:tc>
          <w:tcPr>
            <w:tcW w:w="6729" w:type="dxa"/>
            <w:gridSpan w:val="7"/>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最低</w:t>
            </w:r>
            <w:r>
              <w:rPr>
                <w:rFonts w:hint="eastAsia" w:ascii="宋体" w:hAnsi="宋体" w:eastAsia="宋体" w:cs="宋体"/>
                <w:lang w:val="en-US" w:eastAsia="zh-CN" w:bidi="ar"/>
              </w:rPr>
              <w:t>20</w:t>
            </w:r>
            <w:r>
              <w:rPr>
                <w:rFonts w:ascii="宋体" w:hAnsi="宋体" w:eastAsia="Times New Roman" w:cs="宋体"/>
                <w:lang w:bidi="ar"/>
              </w:rPr>
              <w:t>分，最高</w:t>
            </w:r>
            <w:r>
              <w:rPr>
                <w:rFonts w:hint="eastAsia" w:ascii="宋体" w:hAnsi="宋体" w:eastAsia="宋体" w:cs="宋体"/>
                <w:lang w:val="en-US" w:eastAsia="zh-CN" w:bidi="ar"/>
              </w:rPr>
              <w:t>100</w:t>
            </w:r>
            <w:r>
              <w:rPr>
                <w:rFonts w:ascii="宋体" w:hAnsi="宋体" w:eastAsia="Times New Roman" w:cs="宋体"/>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vAlign w:val="center"/>
          </w:tcPr>
          <w:p>
            <w:pPr>
              <w:adjustRightInd/>
              <w:spacing w:line="240" w:lineRule="auto"/>
              <w:rPr>
                <w:rFonts w:ascii="宋体" w:hAnsi="宋体" w:eastAsia="Times New Roman" w:cs="宋体"/>
              </w:rPr>
            </w:pPr>
          </w:p>
        </w:tc>
        <w:tc>
          <w:tcPr>
            <w:tcW w:w="1284"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20</w:t>
            </w:r>
          </w:p>
        </w:tc>
        <w:tc>
          <w:tcPr>
            <w:tcW w:w="1376"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40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60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80</w:t>
            </w:r>
          </w:p>
        </w:tc>
        <w:tc>
          <w:tcPr>
            <w:tcW w:w="1367"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99"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904"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1284"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0.00%≤B3＜4.00%</w:t>
            </w:r>
          </w:p>
        </w:tc>
        <w:tc>
          <w:tcPr>
            <w:tcW w:w="1376"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4.00%≤B3＜6.00%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6.00%≤B3＜8.00%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8.00%≤B3＜10.00%</w:t>
            </w:r>
          </w:p>
        </w:tc>
        <w:tc>
          <w:tcPr>
            <w:tcW w:w="1367"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10.00%≤B3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99" w:type="dxa"/>
            <w:vMerge w:val="continue"/>
            <w:tcBorders>
              <w:top w:val="single" w:color="auto" w:sz="8" w:space="0"/>
            </w:tcBorders>
            <w:vAlign w:val="center"/>
          </w:tcPr>
          <w:p>
            <w:pPr>
              <w:adjustRightInd/>
              <w:spacing w:line="240" w:lineRule="auto"/>
              <w:rPr>
                <w:rFonts w:ascii="宋体" w:hAnsi="宋体" w:eastAsia="Times New Roman" w:cs="宋体"/>
              </w:rPr>
            </w:pPr>
          </w:p>
        </w:tc>
        <w:tc>
          <w:tcPr>
            <w:tcW w:w="904" w:type="dxa"/>
            <w:vMerge w:val="restart"/>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粘合度B4</w:t>
            </w:r>
          </w:p>
        </w:tc>
        <w:tc>
          <w:tcPr>
            <w:tcW w:w="6729" w:type="dxa"/>
            <w:gridSpan w:val="7"/>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最低</w:t>
            </w:r>
            <w:r>
              <w:rPr>
                <w:rFonts w:hint="eastAsia" w:ascii="宋体" w:hAnsi="宋体" w:eastAsia="宋体" w:cs="宋体"/>
                <w:lang w:val="en-US" w:eastAsia="zh-CN" w:bidi="ar"/>
              </w:rPr>
              <w:t>20</w:t>
            </w:r>
            <w:r>
              <w:rPr>
                <w:rFonts w:ascii="宋体" w:hAnsi="宋体" w:eastAsia="Times New Roman" w:cs="宋体"/>
                <w:lang w:bidi="ar"/>
              </w:rPr>
              <w:t>分，最高</w:t>
            </w:r>
            <w:r>
              <w:rPr>
                <w:rFonts w:hint="eastAsia" w:ascii="宋体" w:hAnsi="宋体" w:eastAsia="宋体" w:cs="宋体"/>
                <w:lang w:val="en-US" w:eastAsia="zh-CN" w:bidi="ar"/>
              </w:rPr>
              <w:t>100</w:t>
            </w:r>
            <w:r>
              <w:rPr>
                <w:rFonts w:ascii="宋体" w:hAnsi="宋体" w:eastAsia="Times New Roman" w:cs="宋体"/>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vAlign w:val="center"/>
          </w:tcPr>
          <w:p>
            <w:pPr>
              <w:adjustRightInd/>
              <w:spacing w:line="240" w:lineRule="auto"/>
              <w:rPr>
                <w:rFonts w:ascii="宋体" w:hAnsi="宋体" w:eastAsia="Times New Roman" w:cs="宋体"/>
              </w:rPr>
            </w:pPr>
          </w:p>
        </w:tc>
        <w:tc>
          <w:tcPr>
            <w:tcW w:w="1284"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20</w:t>
            </w:r>
          </w:p>
        </w:tc>
        <w:tc>
          <w:tcPr>
            <w:tcW w:w="1376"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40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60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80</w:t>
            </w:r>
          </w:p>
        </w:tc>
        <w:tc>
          <w:tcPr>
            <w:tcW w:w="1367"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1284"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0.00%≤B4＜10.00%</w:t>
            </w:r>
          </w:p>
        </w:tc>
        <w:tc>
          <w:tcPr>
            <w:tcW w:w="1376"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10.00%≤B4＜20.00%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20.00%≤B4＜30.00%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30.00%≤B4＜35.00%</w:t>
            </w:r>
          </w:p>
        </w:tc>
        <w:tc>
          <w:tcPr>
            <w:tcW w:w="1367"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35.00%≤B4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restart"/>
            <w:tcBorders>
              <w:top w:val="single" w:color="auto" w:sz="8" w:space="0"/>
            </w:tcBorders>
            <w:vAlign w:val="center"/>
          </w:tcPr>
          <w:p>
            <w:pPr>
              <w:autoSpaceDE w:val="0"/>
              <w:adjustRightInd/>
              <w:spacing w:line="240" w:lineRule="auto"/>
              <w:jc w:val="center"/>
              <w:rPr>
                <w:rFonts w:ascii="宋体" w:hAnsi="宋体" w:eastAsia="Times New Roman" w:cs="宋体"/>
              </w:rPr>
            </w:pPr>
            <w:r>
              <w:rPr>
                <w:rFonts w:hint="eastAsia" w:ascii="宋体" w:hAnsi="宋体" w:eastAsia="Times New Roman" w:cs="宋体"/>
                <w:lang w:bidi="ar"/>
              </w:rPr>
              <w:t>优质创新主体占比</w:t>
            </w:r>
            <w:r>
              <w:rPr>
                <w:rFonts w:ascii="宋体" w:hAnsi="宋体" w:eastAsia="Times New Roman" w:cs="宋体"/>
                <w:lang w:bidi="ar"/>
              </w:rPr>
              <w:t>B5</w:t>
            </w:r>
          </w:p>
        </w:tc>
        <w:tc>
          <w:tcPr>
            <w:tcW w:w="6729" w:type="dxa"/>
            <w:gridSpan w:val="7"/>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最低</w:t>
            </w:r>
            <w:r>
              <w:rPr>
                <w:rFonts w:hint="eastAsia" w:ascii="宋体" w:hAnsi="宋体" w:eastAsia="宋体" w:cs="宋体"/>
                <w:lang w:val="en-US" w:eastAsia="zh-CN" w:bidi="ar"/>
              </w:rPr>
              <w:t>20</w:t>
            </w:r>
            <w:r>
              <w:rPr>
                <w:rFonts w:ascii="宋体" w:hAnsi="宋体" w:eastAsia="Times New Roman" w:cs="宋体"/>
                <w:lang w:bidi="ar"/>
              </w:rPr>
              <w:t>分，最高</w:t>
            </w:r>
            <w:r>
              <w:rPr>
                <w:rFonts w:hint="eastAsia" w:ascii="宋体" w:hAnsi="宋体" w:eastAsia="宋体" w:cs="宋体"/>
                <w:lang w:val="en-US" w:eastAsia="zh-CN" w:bidi="ar"/>
              </w:rPr>
              <w:t>100</w:t>
            </w:r>
            <w:r>
              <w:rPr>
                <w:rFonts w:ascii="宋体" w:hAnsi="宋体" w:eastAsia="Times New Roman" w:cs="宋体"/>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vAlign w:val="center"/>
          </w:tcPr>
          <w:p>
            <w:pPr>
              <w:adjustRightInd/>
              <w:spacing w:line="240" w:lineRule="auto"/>
              <w:rPr>
                <w:rFonts w:ascii="宋体" w:hAnsi="宋体" w:eastAsia="Times New Roman" w:cs="宋体"/>
              </w:rPr>
            </w:pPr>
          </w:p>
        </w:tc>
        <w:tc>
          <w:tcPr>
            <w:tcW w:w="1284"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20</w:t>
            </w:r>
          </w:p>
        </w:tc>
        <w:tc>
          <w:tcPr>
            <w:tcW w:w="1376"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40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60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80</w:t>
            </w:r>
          </w:p>
        </w:tc>
        <w:tc>
          <w:tcPr>
            <w:tcW w:w="1367" w:type="dxa"/>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9"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904"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1284"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0.00%≤B5＜0.50%</w:t>
            </w:r>
          </w:p>
        </w:tc>
        <w:tc>
          <w:tcPr>
            <w:tcW w:w="1376"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0.50%≤B5＜1.00%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1.00%≤B5＜2.00%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2.00%≤B5＜5.00%</w:t>
            </w:r>
          </w:p>
        </w:tc>
        <w:tc>
          <w:tcPr>
            <w:tcW w:w="1367"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5.00%≤B5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699" w:type="dxa"/>
            <w:vMerge w:val="restart"/>
            <w:tcBorders>
              <w:top w:val="single" w:color="auto" w:sz="8" w:space="0"/>
              <w:bottom w:val="single" w:color="auto" w:sz="4"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专利获权能力C</w:t>
            </w:r>
          </w:p>
        </w:tc>
        <w:tc>
          <w:tcPr>
            <w:tcW w:w="904" w:type="dxa"/>
            <w:vMerge w:val="restart"/>
            <w:tcBorders>
              <w:top w:val="single" w:color="auto" w:sz="8" w:space="0"/>
              <w:bottom w:val="single" w:color="auto" w:sz="4"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rPr>
              <w:t>代理发明专利申请授权率C1</w:t>
            </w:r>
          </w:p>
        </w:tc>
        <w:tc>
          <w:tcPr>
            <w:tcW w:w="6729" w:type="dxa"/>
            <w:gridSpan w:val="7"/>
            <w:tcBorders>
              <w:top w:val="single" w:color="auto" w:sz="8" w:space="0"/>
              <w:bottom w:val="single" w:color="auto" w:sz="4"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最低</w:t>
            </w:r>
            <w:r>
              <w:rPr>
                <w:rFonts w:hint="eastAsia" w:ascii="宋体" w:hAnsi="宋体" w:eastAsia="宋体" w:cs="宋体"/>
                <w:lang w:val="en-US" w:eastAsia="zh-CN" w:bidi="ar"/>
              </w:rPr>
              <w:t>20</w:t>
            </w:r>
            <w:r>
              <w:rPr>
                <w:rFonts w:ascii="宋体" w:hAnsi="宋体" w:eastAsia="Times New Roman" w:cs="宋体"/>
                <w:lang w:bidi="ar"/>
              </w:rPr>
              <w:t>分，最高</w:t>
            </w:r>
            <w:r>
              <w:rPr>
                <w:rFonts w:hint="eastAsia" w:ascii="宋体" w:hAnsi="宋体" w:eastAsia="宋体" w:cs="宋体"/>
                <w:lang w:val="en-US" w:eastAsia="zh-CN" w:bidi="ar"/>
              </w:rPr>
              <w:t>100</w:t>
            </w:r>
            <w:r>
              <w:rPr>
                <w:rFonts w:ascii="宋体" w:hAnsi="宋体" w:eastAsia="Times New Roman" w:cs="宋体"/>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99" w:type="dxa"/>
            <w:vMerge w:val="continue"/>
            <w:tcBorders>
              <w:top w:val="single" w:color="auto" w:sz="4" w:space="0"/>
            </w:tcBorders>
            <w:vAlign w:val="center"/>
          </w:tcPr>
          <w:p>
            <w:pPr>
              <w:adjustRightInd/>
              <w:spacing w:line="240" w:lineRule="auto"/>
              <w:rPr>
                <w:rFonts w:ascii="宋体" w:hAnsi="宋体" w:eastAsia="Times New Roman" w:cs="宋体"/>
              </w:rPr>
            </w:pPr>
          </w:p>
        </w:tc>
        <w:tc>
          <w:tcPr>
            <w:tcW w:w="904" w:type="dxa"/>
            <w:vMerge w:val="continue"/>
            <w:tcBorders>
              <w:top w:val="single" w:color="auto" w:sz="4" w:space="0"/>
            </w:tcBorders>
            <w:vAlign w:val="center"/>
          </w:tcPr>
          <w:p>
            <w:pPr>
              <w:adjustRightInd/>
              <w:spacing w:line="240" w:lineRule="auto"/>
              <w:rPr>
                <w:rFonts w:ascii="宋体" w:hAnsi="宋体" w:eastAsia="Times New Roman" w:cs="宋体"/>
              </w:rPr>
            </w:pPr>
          </w:p>
        </w:tc>
        <w:tc>
          <w:tcPr>
            <w:tcW w:w="1284" w:type="dxa"/>
            <w:tcBorders>
              <w:top w:val="single" w:color="auto" w:sz="4" w:space="0"/>
            </w:tcBorders>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20</w:t>
            </w:r>
          </w:p>
        </w:tc>
        <w:tc>
          <w:tcPr>
            <w:tcW w:w="1376" w:type="dxa"/>
            <w:tcBorders>
              <w:top w:val="single" w:color="auto" w:sz="4" w:space="0"/>
            </w:tcBorders>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40</w:t>
            </w:r>
          </w:p>
        </w:tc>
        <w:tc>
          <w:tcPr>
            <w:tcW w:w="1351" w:type="dxa"/>
            <w:gridSpan w:val="2"/>
            <w:tcBorders>
              <w:top w:val="single" w:color="auto" w:sz="4" w:space="0"/>
            </w:tcBorders>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60</w:t>
            </w:r>
          </w:p>
        </w:tc>
        <w:tc>
          <w:tcPr>
            <w:tcW w:w="1351" w:type="dxa"/>
            <w:gridSpan w:val="2"/>
            <w:tcBorders>
              <w:top w:val="single" w:color="auto" w:sz="4" w:space="0"/>
            </w:tcBorders>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80</w:t>
            </w:r>
          </w:p>
        </w:tc>
        <w:tc>
          <w:tcPr>
            <w:tcW w:w="1367" w:type="dxa"/>
            <w:tcBorders>
              <w:top w:val="single" w:color="auto" w:sz="4" w:space="0"/>
            </w:tcBorders>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1284" w:type="dxa"/>
            <w:tcBorders>
              <w:bottom w:val="single" w:color="auto" w:sz="8" w:space="0"/>
            </w:tcBorders>
            <w:vAlign w:val="center"/>
          </w:tcPr>
          <w:p>
            <w:pPr>
              <w:autoSpaceDE w:val="0"/>
              <w:adjustRightInd/>
              <w:spacing w:line="240" w:lineRule="auto"/>
              <w:jc w:val="center"/>
              <w:rPr>
                <w:rFonts w:ascii="宋体" w:hAnsi="宋体" w:eastAsia="Times New Roman" w:cs="宋体"/>
                <w:lang w:bidi="ar"/>
              </w:rPr>
            </w:pPr>
            <w:r>
              <w:rPr>
                <w:rFonts w:ascii="宋体" w:hAnsi="宋体" w:eastAsia="Times New Roman" w:cs="宋体"/>
                <w:lang w:bidi="ar"/>
              </w:rPr>
              <w:t>0%≤C1</w:t>
            </w:r>
          </w:p>
          <w:p>
            <w:pPr>
              <w:autoSpaceDE w:val="0"/>
              <w:adjustRightInd/>
              <w:spacing w:line="240" w:lineRule="auto"/>
              <w:jc w:val="center"/>
              <w:rPr>
                <w:rFonts w:ascii="宋体" w:hAnsi="宋体" w:eastAsia="Times New Roman" w:cs="宋体"/>
              </w:rPr>
            </w:pPr>
            <w:r>
              <w:rPr>
                <w:rFonts w:ascii="宋体" w:hAnsi="宋体" w:eastAsia="Times New Roman" w:cs="宋体"/>
                <w:lang w:bidi="ar"/>
              </w:rPr>
              <w:t>＜60.00%</w:t>
            </w:r>
          </w:p>
        </w:tc>
        <w:tc>
          <w:tcPr>
            <w:tcW w:w="1376"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60.00%≤C1＜70.00%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lang w:bidi="ar"/>
              </w:rPr>
            </w:pPr>
            <w:r>
              <w:rPr>
                <w:rFonts w:ascii="宋体" w:hAnsi="宋体" w:eastAsia="Times New Roman" w:cs="宋体"/>
                <w:lang w:bidi="ar"/>
              </w:rPr>
              <w:t>70%≤C1</w:t>
            </w:r>
          </w:p>
          <w:p>
            <w:pPr>
              <w:autoSpaceDE w:val="0"/>
              <w:adjustRightInd/>
              <w:spacing w:line="240" w:lineRule="auto"/>
              <w:jc w:val="center"/>
              <w:rPr>
                <w:rFonts w:ascii="宋体" w:hAnsi="宋体" w:eastAsia="Times New Roman" w:cs="宋体"/>
              </w:rPr>
            </w:pPr>
            <w:r>
              <w:rPr>
                <w:rFonts w:ascii="宋体" w:hAnsi="宋体" w:eastAsia="Times New Roman" w:cs="宋体"/>
                <w:lang w:bidi="ar"/>
              </w:rPr>
              <w:t>＜80.00%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80.00%≤C1＜85.00%</w:t>
            </w:r>
          </w:p>
        </w:tc>
        <w:tc>
          <w:tcPr>
            <w:tcW w:w="1367"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85.00%≤C1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restart"/>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代理发明专利申请撤回率C</w:t>
            </w:r>
            <w:r>
              <w:rPr>
                <w:rFonts w:ascii="宋体" w:hAnsi="宋体" w:eastAsia="Times New Roman" w:cs="宋体"/>
              </w:rPr>
              <w:t>2</w:t>
            </w:r>
          </w:p>
        </w:tc>
        <w:tc>
          <w:tcPr>
            <w:tcW w:w="6729" w:type="dxa"/>
            <w:gridSpan w:val="7"/>
            <w:tcBorders>
              <w:top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最低-</w:t>
            </w:r>
            <w:r>
              <w:rPr>
                <w:rFonts w:hint="eastAsia" w:ascii="宋体" w:hAnsi="宋体" w:eastAsia="宋体" w:cs="宋体"/>
                <w:lang w:val="en-US" w:eastAsia="zh-CN" w:bidi="ar"/>
              </w:rPr>
              <w:t>100</w:t>
            </w:r>
            <w:r>
              <w:rPr>
                <w:rFonts w:ascii="宋体" w:hAnsi="宋体" w:eastAsia="Times New Roman" w:cs="宋体"/>
                <w:lang w:bidi="ar"/>
              </w:rPr>
              <w:t>分，最高</w:t>
            </w:r>
            <w:r>
              <w:rPr>
                <w:rFonts w:hint="eastAsia" w:ascii="宋体" w:hAnsi="宋体" w:eastAsia="宋体" w:cs="宋体"/>
                <w:lang w:val="en-US" w:eastAsia="zh-CN" w:bidi="ar"/>
              </w:rPr>
              <w:t>100</w:t>
            </w:r>
            <w:r>
              <w:rPr>
                <w:rFonts w:ascii="宋体" w:hAnsi="宋体" w:eastAsia="Times New Roman" w:cs="宋体"/>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699" w:type="dxa"/>
            <w:vMerge w:val="continue"/>
            <w:vAlign w:val="center"/>
          </w:tcPr>
          <w:p>
            <w:pPr>
              <w:adjustRightInd/>
              <w:spacing w:line="240" w:lineRule="auto"/>
              <w:rPr>
                <w:rFonts w:ascii="宋体" w:hAnsi="宋体" w:eastAsia="Times New Roman" w:cs="宋体"/>
              </w:rPr>
            </w:pPr>
          </w:p>
        </w:tc>
        <w:tc>
          <w:tcPr>
            <w:tcW w:w="904" w:type="dxa"/>
            <w:vMerge w:val="continue"/>
            <w:vAlign w:val="center"/>
          </w:tcPr>
          <w:p>
            <w:pPr>
              <w:adjustRightInd/>
              <w:spacing w:line="240" w:lineRule="auto"/>
              <w:rPr>
                <w:rFonts w:ascii="宋体" w:hAnsi="宋体" w:eastAsia="Times New Roman" w:cs="宋体"/>
              </w:rPr>
            </w:pPr>
          </w:p>
        </w:tc>
        <w:tc>
          <w:tcPr>
            <w:tcW w:w="1284" w:type="dxa"/>
            <w:vAlign w:val="center"/>
          </w:tcPr>
          <w:p>
            <w:pPr>
              <w:keepNext w:val="0"/>
              <w:keepLines w:val="0"/>
              <w:widowControl/>
              <w:suppressLineNumbers w:val="0"/>
              <w:jc w:val="center"/>
              <w:textAlignment w:val="center"/>
              <w:rPr>
                <w:rFonts w:hint="default" w:ascii="宋体" w:hAnsi="宋体" w:eastAsia="Times New Roman" w:cs="宋体"/>
                <w:lang w:val="en-US"/>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100</w:t>
            </w:r>
          </w:p>
        </w:tc>
        <w:tc>
          <w:tcPr>
            <w:tcW w:w="1376" w:type="dxa"/>
            <w:vAlign w:val="center"/>
          </w:tcPr>
          <w:p>
            <w:pPr>
              <w:keepNext w:val="0"/>
              <w:keepLines w:val="0"/>
              <w:widowControl/>
              <w:suppressLineNumbers w:val="0"/>
              <w:jc w:val="center"/>
              <w:textAlignment w:val="center"/>
              <w:rPr>
                <w:rFonts w:hint="default" w:ascii="宋体" w:hAnsi="宋体" w:eastAsia="Times New Roman" w:cs="宋体"/>
                <w:lang w:val="en-US"/>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50</w:t>
            </w:r>
          </w:p>
        </w:tc>
        <w:tc>
          <w:tcPr>
            <w:tcW w:w="1351" w:type="dxa"/>
            <w:gridSpan w:val="2"/>
            <w:vAlign w:val="center"/>
          </w:tcPr>
          <w:p>
            <w:pPr>
              <w:keepNext w:val="0"/>
              <w:keepLines w:val="0"/>
              <w:widowControl/>
              <w:suppressLineNumbers w:val="0"/>
              <w:jc w:val="center"/>
              <w:textAlignment w:val="center"/>
              <w:rPr>
                <w:rFonts w:ascii="宋体" w:hAnsi="宋体" w:eastAsia="Times New Roman" w:cs="宋体"/>
              </w:rPr>
            </w:pPr>
            <w:r>
              <w:rPr>
                <w:rFonts w:hint="eastAsia" w:ascii="宋体" w:hAnsi="宋体" w:eastAsia="宋体" w:cs="宋体"/>
                <w:i w:val="0"/>
                <w:iCs w:val="0"/>
                <w:color w:val="000000"/>
                <w:kern w:val="0"/>
                <w:sz w:val="21"/>
                <w:szCs w:val="21"/>
                <w:u w:val="none"/>
                <w:lang w:val="en-US" w:eastAsia="zh-CN" w:bidi="ar"/>
              </w:rPr>
              <w:t>0</w:t>
            </w:r>
          </w:p>
        </w:tc>
        <w:tc>
          <w:tcPr>
            <w:tcW w:w="1351" w:type="dxa"/>
            <w:gridSpan w:val="2"/>
            <w:vAlign w:val="center"/>
          </w:tcPr>
          <w:p>
            <w:pPr>
              <w:keepNext w:val="0"/>
              <w:keepLines w:val="0"/>
              <w:widowControl/>
              <w:suppressLineNumbers w:val="0"/>
              <w:jc w:val="center"/>
              <w:textAlignment w:val="center"/>
              <w:rPr>
                <w:rFonts w:hint="default" w:ascii="宋体" w:hAnsi="宋体" w:eastAsia="Times New Roman" w:cs="宋体"/>
                <w:lang w:val="en-US"/>
              </w:rPr>
            </w:pPr>
            <w:r>
              <w:rPr>
                <w:rFonts w:hint="eastAsia" w:ascii="宋体" w:hAnsi="宋体" w:cs="宋体"/>
                <w:i w:val="0"/>
                <w:iCs w:val="0"/>
                <w:color w:val="000000"/>
                <w:kern w:val="0"/>
                <w:sz w:val="21"/>
                <w:szCs w:val="21"/>
                <w:u w:val="none"/>
                <w:lang w:val="en-US" w:eastAsia="zh-CN" w:bidi="ar"/>
              </w:rPr>
              <w:t>50</w:t>
            </w:r>
          </w:p>
        </w:tc>
        <w:tc>
          <w:tcPr>
            <w:tcW w:w="1367" w:type="dxa"/>
            <w:vAlign w:val="center"/>
          </w:tcPr>
          <w:p>
            <w:pPr>
              <w:keepNext w:val="0"/>
              <w:keepLines w:val="0"/>
              <w:widowControl/>
              <w:suppressLineNumbers w:val="0"/>
              <w:jc w:val="center"/>
              <w:textAlignment w:val="center"/>
              <w:rPr>
                <w:rFonts w:hint="default" w:ascii="宋体" w:hAnsi="宋体" w:eastAsia="Times New Roman" w:cs="宋体"/>
                <w:lang w:val="en-US"/>
              </w:rPr>
            </w:pPr>
            <w:r>
              <w:rPr>
                <w:rFonts w:hint="eastAsia" w:ascii="宋体" w:hAnsi="宋体" w:cs="宋体"/>
                <w:i w:val="0"/>
                <w:iCs w:val="0"/>
                <w:color w:val="000000"/>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699"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904" w:type="dxa"/>
            <w:vMerge w:val="continue"/>
            <w:tcBorders>
              <w:bottom w:val="single" w:color="auto" w:sz="8" w:space="0"/>
            </w:tcBorders>
            <w:vAlign w:val="center"/>
          </w:tcPr>
          <w:p>
            <w:pPr>
              <w:adjustRightInd/>
              <w:spacing w:line="240" w:lineRule="auto"/>
              <w:rPr>
                <w:rFonts w:ascii="宋体" w:hAnsi="宋体" w:eastAsia="Times New Roman" w:cs="宋体"/>
              </w:rPr>
            </w:pPr>
          </w:p>
        </w:tc>
        <w:tc>
          <w:tcPr>
            <w:tcW w:w="1284" w:type="dxa"/>
            <w:tcBorders>
              <w:bottom w:val="single" w:color="auto" w:sz="8" w:space="0"/>
            </w:tcBorders>
            <w:vAlign w:val="center"/>
          </w:tcPr>
          <w:p>
            <w:pPr>
              <w:autoSpaceDE w:val="0"/>
              <w:adjustRightInd/>
              <w:spacing w:line="240" w:lineRule="auto"/>
              <w:jc w:val="center"/>
              <w:rPr>
                <w:rFonts w:ascii="宋体" w:hAnsi="宋体" w:eastAsia="Times New Roman" w:cs="宋体"/>
                <w:lang w:bidi="ar"/>
              </w:rPr>
            </w:pPr>
            <w:r>
              <w:rPr>
                <w:rFonts w:ascii="宋体" w:hAnsi="宋体" w:eastAsia="Times New Roman" w:cs="宋体"/>
                <w:lang w:bidi="ar"/>
              </w:rPr>
              <w:t>25.00%≤</w:t>
            </w:r>
          </w:p>
          <w:p>
            <w:pPr>
              <w:autoSpaceDE w:val="0"/>
              <w:adjustRightInd/>
              <w:spacing w:line="240" w:lineRule="auto"/>
              <w:jc w:val="center"/>
              <w:rPr>
                <w:rFonts w:ascii="宋体" w:hAnsi="宋体" w:eastAsia="Times New Roman" w:cs="宋体"/>
              </w:rPr>
            </w:pPr>
            <w:r>
              <w:rPr>
                <w:rFonts w:ascii="宋体" w:hAnsi="宋体" w:eastAsia="Times New Roman" w:cs="宋体"/>
                <w:lang w:bidi="ar"/>
              </w:rPr>
              <w:t>C2</w:t>
            </w:r>
          </w:p>
        </w:tc>
        <w:tc>
          <w:tcPr>
            <w:tcW w:w="1376"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20.00%≤C2＜25.00%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15.00%≤C2＜20.00%</w:t>
            </w:r>
          </w:p>
        </w:tc>
        <w:tc>
          <w:tcPr>
            <w:tcW w:w="1351" w:type="dxa"/>
            <w:gridSpan w:val="2"/>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10.00%≤C2＜15.00%</w:t>
            </w:r>
          </w:p>
        </w:tc>
        <w:tc>
          <w:tcPr>
            <w:tcW w:w="1367" w:type="dxa"/>
            <w:tcBorders>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0.00%≤C2＜10.00%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9" w:type="dxa"/>
            <w:vMerge w:val="restart"/>
            <w:tcBorders>
              <w:top w:val="single" w:color="auto" w:sz="8" w:space="0"/>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加分项D</w:t>
            </w:r>
          </w:p>
        </w:tc>
        <w:tc>
          <w:tcPr>
            <w:tcW w:w="904" w:type="dxa"/>
            <w:tcBorders>
              <w:top w:val="single" w:color="auto" w:sz="8" w:space="0"/>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专利奖D1</w:t>
            </w:r>
          </w:p>
        </w:tc>
        <w:tc>
          <w:tcPr>
            <w:tcW w:w="6729" w:type="dxa"/>
            <w:gridSpan w:val="7"/>
            <w:tcBorders>
              <w:top w:val="single" w:color="auto" w:sz="8" w:space="0"/>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中国专利奖：金奖、银奖、优秀奖分别为4分、3分、2分；</w:t>
            </w:r>
          </w:p>
          <w:p>
            <w:pPr>
              <w:autoSpaceDE w:val="0"/>
              <w:adjustRightInd/>
              <w:spacing w:line="240" w:lineRule="auto"/>
              <w:jc w:val="center"/>
              <w:rPr>
                <w:rFonts w:ascii="宋体" w:hAnsi="宋体" w:eastAsia="Times New Roman" w:cs="宋体"/>
              </w:rPr>
            </w:pPr>
            <w:r>
              <w:rPr>
                <w:rFonts w:ascii="宋体" w:hAnsi="宋体" w:eastAsia="Times New Roman" w:cs="宋体"/>
                <w:lang w:bidi="ar"/>
              </w:rPr>
              <w:t>浙江省知识产权奖：省级一等奖、省级二等奖、省级三等奖分别为3分、2分、1分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699" w:type="dxa"/>
            <w:vMerge w:val="continue"/>
            <w:tcBorders>
              <w:top w:val="single" w:color="auto" w:sz="8" w:space="0"/>
              <w:bottom w:val="single" w:color="auto" w:sz="8" w:space="0"/>
            </w:tcBorders>
            <w:vAlign w:val="center"/>
          </w:tcPr>
          <w:p>
            <w:pPr>
              <w:adjustRightInd/>
              <w:spacing w:line="240" w:lineRule="auto"/>
              <w:rPr>
                <w:rFonts w:ascii="宋体" w:hAnsi="宋体" w:eastAsia="Times New Roman" w:cs="宋体"/>
              </w:rPr>
            </w:pPr>
          </w:p>
        </w:tc>
        <w:tc>
          <w:tcPr>
            <w:tcW w:w="904" w:type="dxa"/>
            <w:tcBorders>
              <w:top w:val="single" w:color="auto" w:sz="8" w:space="0"/>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标准必要专利（SEP）D2</w:t>
            </w:r>
          </w:p>
        </w:tc>
        <w:tc>
          <w:tcPr>
            <w:tcW w:w="6729" w:type="dxa"/>
            <w:gridSpan w:val="7"/>
            <w:tcBorders>
              <w:top w:val="single" w:color="auto" w:sz="8" w:space="0"/>
              <w:bottom w:val="single" w:color="auto" w:sz="8" w:space="0"/>
            </w:tcBorders>
            <w:vAlign w:val="center"/>
          </w:tcPr>
          <w:p>
            <w:pPr>
              <w:autoSpaceDE w:val="0"/>
              <w:adjustRightInd/>
              <w:spacing w:line="240" w:lineRule="auto"/>
              <w:jc w:val="center"/>
              <w:rPr>
                <w:rFonts w:ascii="宋体" w:hAnsi="宋体" w:eastAsia="Times New Roman" w:cs="宋体"/>
              </w:rPr>
            </w:pPr>
            <w:r>
              <w:rPr>
                <w:rFonts w:ascii="宋体" w:hAnsi="宋体" w:eastAsia="Times New Roman" w:cs="宋体"/>
                <w:lang w:bidi="ar"/>
              </w:rPr>
              <w:t>最低0分，最高3分</w:t>
            </w:r>
          </w:p>
          <w:bookmarkEnd w:id="106"/>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699" w:type="dxa"/>
            <w:tcBorders>
              <w:top w:val="single" w:color="auto" w:sz="8" w:space="0"/>
              <w:bottom w:val="single" w:color="auto" w:sz="8" w:space="0"/>
            </w:tcBorders>
            <w:vAlign w:val="center"/>
          </w:tcPr>
          <w:p>
            <w:pPr>
              <w:adjustRightInd/>
              <w:spacing w:line="240" w:lineRule="auto"/>
              <w:rPr>
                <w:rFonts w:ascii="宋体" w:hAnsi="宋体" w:eastAsia="Times New Roman" w:cs="宋体"/>
              </w:rPr>
            </w:pPr>
          </w:p>
        </w:tc>
        <w:tc>
          <w:tcPr>
            <w:tcW w:w="904" w:type="dxa"/>
            <w:tcBorders>
              <w:top w:val="single" w:color="auto" w:sz="8" w:space="0"/>
              <w:bottom w:val="single" w:color="auto" w:sz="8" w:space="0"/>
            </w:tcBorders>
            <w:vAlign w:val="center"/>
          </w:tcPr>
          <w:p>
            <w:pPr>
              <w:autoSpaceDE w:val="0"/>
              <w:adjustRightInd/>
              <w:spacing w:line="240" w:lineRule="auto"/>
              <w:jc w:val="center"/>
              <w:rPr>
                <w:rFonts w:hint="default" w:ascii="宋体" w:hAnsi="宋体" w:eastAsia="宋体" w:cs="宋体"/>
                <w:lang w:val="en-US" w:eastAsia="zh-CN" w:bidi="ar"/>
              </w:rPr>
            </w:pPr>
            <w:r>
              <w:rPr>
                <w:rFonts w:hint="eastAsia" w:ascii="宋体" w:hAnsi="宋体" w:eastAsia="Times New Roman" w:cs="宋体"/>
                <w:lang w:eastAsia="zh-CN" w:bidi="ar"/>
              </w:rPr>
              <w:t>官方认定荣誉</w:t>
            </w:r>
            <w:r>
              <w:rPr>
                <w:rFonts w:hint="eastAsia" w:ascii="宋体" w:hAnsi="宋体" w:eastAsia="Times New Roman" w:cs="宋体"/>
                <w:lang w:val="en-US" w:eastAsia="zh-CN" w:bidi="ar"/>
              </w:rPr>
              <w:t>D3</w:t>
            </w:r>
          </w:p>
        </w:tc>
        <w:tc>
          <w:tcPr>
            <w:tcW w:w="6729" w:type="dxa"/>
            <w:gridSpan w:val="7"/>
            <w:tcBorders>
              <w:top w:val="single" w:color="auto" w:sz="8" w:space="0"/>
              <w:bottom w:val="single" w:color="auto" w:sz="8" w:space="0"/>
            </w:tcBorders>
            <w:vAlign w:val="center"/>
          </w:tcPr>
          <w:p>
            <w:pPr>
              <w:autoSpaceDE w:val="0"/>
              <w:adjustRightInd/>
              <w:spacing w:line="240" w:lineRule="auto"/>
              <w:jc w:val="center"/>
              <w:rPr>
                <w:rFonts w:hint="default" w:ascii="宋体" w:hAnsi="宋体" w:eastAsia="宋体" w:cs="宋体"/>
                <w:lang w:val="en-US" w:eastAsia="zh-CN" w:bidi="ar"/>
              </w:rPr>
            </w:pPr>
            <w:r>
              <w:rPr>
                <w:rFonts w:hint="eastAsia" w:ascii="宋体" w:hAnsi="宋体" w:eastAsia="Times New Roman" w:cs="宋体"/>
                <w:lang w:eastAsia="zh-CN" w:bidi="ar"/>
              </w:rPr>
              <w:t>机构获评国家/省级发改委认定的服务业领军企业，</w:t>
            </w:r>
            <w:r>
              <w:rPr>
                <w:rFonts w:hint="eastAsia" w:ascii="宋体" w:hAnsi="宋体" w:eastAsia="Times New Roman" w:cs="宋体"/>
                <w:lang w:val="en-US" w:eastAsia="zh-CN" w:bidi="ar"/>
              </w:rPr>
              <w:t>3分/2分</w:t>
            </w:r>
          </w:p>
        </w:tc>
      </w:tr>
    </w:tbl>
    <w:p>
      <w:pPr>
        <w:pStyle w:val="56"/>
        <w:ind w:firstLine="420"/>
        <w:sectPr>
          <w:pgSz w:w="11906" w:h="16838"/>
          <w:pgMar w:top="1928" w:right="1134" w:bottom="1134" w:left="1134" w:header="1418" w:footer="1134" w:gutter="284"/>
          <w:pgBorders>
            <w:top w:val="none" w:sz="0" w:space="0"/>
            <w:left w:val="none" w:sz="0" w:space="0"/>
            <w:bottom w:val="none" w:sz="0" w:space="0"/>
            <w:right w:val="none" w:sz="0" w:space="0"/>
          </w:pgBorders>
          <w:cols w:space="425" w:num="1"/>
          <w:formProt w:val="0"/>
          <w:docGrid w:linePitch="312" w:charSpace="0"/>
        </w:sectPr>
      </w:pPr>
    </w:p>
    <w:p>
      <w:pPr>
        <w:pStyle w:val="198"/>
        <w:rPr>
          <w:rFonts w:hint="eastAsia"/>
        </w:rPr>
      </w:pPr>
    </w:p>
    <w:p>
      <w:pPr>
        <w:pStyle w:val="199"/>
      </w:pPr>
    </w:p>
    <w:p>
      <w:pPr>
        <w:pStyle w:val="76"/>
        <w:spacing w:after="120"/>
      </w:pPr>
      <w:bookmarkStart w:id="107" w:name="_Toc127090305"/>
      <w:r>
        <w:br w:type="textWrapping"/>
      </w:r>
      <w:r>
        <w:rPr>
          <w:rFonts w:hint="eastAsia"/>
        </w:rPr>
        <w:t>（规范性）</w:t>
      </w:r>
      <w:r>
        <w:br w:type="textWrapping"/>
      </w:r>
      <w:r>
        <w:t>专利代理机构等级评价指标积分表</w:t>
      </w:r>
      <w:bookmarkEnd w:id="107"/>
    </w:p>
    <w:tbl>
      <w:tblPr>
        <w:tblStyle w:val="27"/>
        <w:tblW w:w="85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326"/>
        <w:gridCol w:w="3416"/>
        <w:gridCol w:w="37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326" w:type="dxa"/>
            <w:tcBorders>
              <w:top w:val="single" w:color="auto" w:sz="8" w:space="0"/>
              <w:bottom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等级</w:t>
            </w:r>
          </w:p>
        </w:tc>
        <w:tc>
          <w:tcPr>
            <w:tcW w:w="3416" w:type="dxa"/>
            <w:tcBorders>
              <w:top w:val="single" w:color="auto" w:sz="8" w:space="0"/>
              <w:bottom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对应分数区间（总分110）</w:t>
            </w:r>
          </w:p>
        </w:tc>
        <w:tc>
          <w:tcPr>
            <w:tcW w:w="3780" w:type="dxa"/>
            <w:tcBorders>
              <w:top w:val="single" w:color="auto" w:sz="8" w:space="0"/>
              <w:bottom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能力描述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326" w:type="dxa"/>
            <w:tcBorders>
              <w:top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AAAAA</w:t>
            </w:r>
          </w:p>
        </w:tc>
        <w:tc>
          <w:tcPr>
            <w:tcW w:w="3416" w:type="dxa"/>
            <w:tcBorders>
              <w:top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≥90分</w:t>
            </w:r>
          </w:p>
        </w:tc>
        <w:tc>
          <w:tcPr>
            <w:tcW w:w="3780" w:type="dxa"/>
            <w:tcBorders>
              <w:top w:val="single" w:color="auto" w:sz="8" w:space="0"/>
            </w:tcBorders>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行业领先，综合能力强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32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AAAA</w:t>
            </w:r>
          </w:p>
        </w:tc>
        <w:tc>
          <w:tcPr>
            <w:tcW w:w="341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75 ～ 89 分</w:t>
            </w:r>
          </w:p>
        </w:tc>
        <w:tc>
          <w:tcPr>
            <w:tcW w:w="3780"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能力优秀，规范程度高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32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AAA</w:t>
            </w:r>
          </w:p>
        </w:tc>
        <w:tc>
          <w:tcPr>
            <w:tcW w:w="341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60 ～ 74 分</w:t>
            </w:r>
          </w:p>
        </w:tc>
        <w:tc>
          <w:tcPr>
            <w:tcW w:w="3780"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能力良好，满足基本服务要求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32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AA</w:t>
            </w:r>
          </w:p>
        </w:tc>
        <w:tc>
          <w:tcPr>
            <w:tcW w:w="341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50 ～ 59 分</w:t>
            </w:r>
          </w:p>
        </w:tc>
        <w:tc>
          <w:tcPr>
            <w:tcW w:w="3780"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能力较好，存在明显改进空间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32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A</w:t>
            </w:r>
          </w:p>
        </w:tc>
        <w:tc>
          <w:tcPr>
            <w:tcW w:w="3416"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lang w:val="en-US" w:eastAsia="zh-CN"/>
              </w:rPr>
              <w:t>0</w:t>
            </w:r>
            <w:r>
              <w:rPr>
                <w:rFonts w:hint="eastAsia" w:asciiTheme="minorEastAsia" w:hAnsiTheme="minorEastAsia" w:eastAsiaTheme="minorEastAsia" w:cstheme="minorEastAsia"/>
                <w:sz w:val="18"/>
                <w:szCs w:val="24"/>
              </w:rPr>
              <w:t>～49分</w:t>
            </w:r>
          </w:p>
        </w:tc>
        <w:tc>
          <w:tcPr>
            <w:tcW w:w="3780" w:type="dxa"/>
            <w:vAlign w:val="center"/>
          </w:tcPr>
          <w:p>
            <w:pPr>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能力基础，具备基本服务能力</w:t>
            </w:r>
          </w:p>
        </w:tc>
      </w:tr>
    </w:tbl>
    <w:p>
      <w:pPr>
        <w:pStyle w:val="56"/>
        <w:ind w:firstLine="420"/>
      </w:pPr>
    </w:p>
    <w:p>
      <w:pPr>
        <w:pStyle w:val="56"/>
        <w:ind w:firstLine="420"/>
      </w:pPr>
    </w:p>
    <w:p>
      <w:pPr>
        <w:pStyle w:val="56"/>
        <w:ind w:firstLine="420"/>
      </w:pPr>
    </w:p>
    <w:p>
      <w:pPr>
        <w:pStyle w:val="56"/>
        <w:ind w:firstLine="420"/>
      </w:pPr>
    </w:p>
    <w:p>
      <w:pPr>
        <w:pStyle w:val="56"/>
        <w:ind w:left="0" w:leftChars="0" w:firstLine="0" w:firstLineChars="0"/>
      </w:pPr>
    </w:p>
    <w:bookmarkEnd w:id="102"/>
    <w:p>
      <w:pPr>
        <w:pStyle w:val="56"/>
        <w:ind w:firstLine="0" w:firstLineChars="0"/>
        <w:jc w:val="center"/>
      </w:pPr>
    </w:p>
    <w:sectPr>
      <w:pgSz w:w="11906" w:h="16838"/>
      <w:pgMar w:top="1928" w:right="1134" w:bottom="1134" w:left="1134" w:header="1418" w:footer="1134" w:gutter="284"/>
      <w:pgBorders>
        <w:top w:val="none" w:sz="0" w:space="0"/>
        <w:left w:val="none" w:sz="0" w:space="0"/>
        <w:bottom w:val="none" w:sz="0" w:space="0"/>
        <w:right w:val="none" w:sz="0" w:space="0"/>
      </w:pgBorders>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Light">
    <w:altName w:val="华文仿宋"/>
    <w:panose1 w:val="02010600030101010101"/>
    <w:charset w:val="86"/>
    <w:family w:val="auto"/>
    <w:pitch w:val="default"/>
    <w:sig w:usb0="00000000" w:usb1="00000000" w:usb2="00000016" w:usb3="00000000" w:csb0="0004000F" w:csb1="00000000"/>
  </w:font>
  <w:font w:name="Cambria Math">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Liberation Serif">
    <w:panose1 w:val="02020603050405020304"/>
    <w:charset w:val="00"/>
    <w:family w:val="auto"/>
    <w:pitch w:val="default"/>
    <w:sig w:usb0="A00002AF" w:usb1="500078FB" w:usb2="00000000" w:usb3="00000000" w:csb0="6000009F" w:csb1="DFD70000"/>
  </w:font>
  <w:font w:name="等线">
    <w:altName w:val="C059"/>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t>T/XXX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pPr>
    <w:r>
      <w:fldChar w:fldCharType="begin"/>
    </w:r>
    <w:r>
      <w:instrText xml:space="preserve"> STYLEREF  标准文件_文件编号  \* MERGEFORMAT </w:instrText>
    </w:r>
    <w:r>
      <w:fldChar w:fldCharType="separate"/>
    </w:r>
    <w:r>
      <w:t>T/XXX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attachedTemplate r:id="rId1"/>
  <w:documentProtection w:edit="forms" w:enforcement="1" w:cryptProviderType="rsaAES" w:cryptAlgorithmClass="hash" w:cryptAlgorithmType="typeAny" w:cryptAlgorithmSid="14" w:cryptSpinCount="100000" w:hash="sl6Q5r2g9JKYRaUUKQDWmYM9ZmN9Yezf5CR1a0sE5zEOr+60e8po7vJIJO5NWYo/FVAxWU1d29IPCVrUp/vAYw==" w:salt="yXYH8nZVXnb1oUwK5B76Ig=="/>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2A4"/>
    <w:rsid w:val="0000040A"/>
    <w:rsid w:val="00000A94"/>
    <w:rsid w:val="00001972"/>
    <w:rsid w:val="00001D9A"/>
    <w:rsid w:val="00007B3A"/>
    <w:rsid w:val="000107E0"/>
    <w:rsid w:val="00011FDE"/>
    <w:rsid w:val="00012FFD"/>
    <w:rsid w:val="00014162"/>
    <w:rsid w:val="00014340"/>
    <w:rsid w:val="00016A9C"/>
    <w:rsid w:val="000171DD"/>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8A3"/>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978"/>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404"/>
    <w:rsid w:val="002F35E4"/>
    <w:rsid w:val="002F3730"/>
    <w:rsid w:val="002F38E1"/>
    <w:rsid w:val="002F7AF6"/>
    <w:rsid w:val="00300E63"/>
    <w:rsid w:val="00302F5F"/>
    <w:rsid w:val="0030441D"/>
    <w:rsid w:val="00306063"/>
    <w:rsid w:val="00313B85"/>
    <w:rsid w:val="00316BFF"/>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237"/>
    <w:rsid w:val="003903D6"/>
    <w:rsid w:val="00390EE6"/>
    <w:rsid w:val="0039118F"/>
    <w:rsid w:val="00392AD7"/>
    <w:rsid w:val="003938D9"/>
    <w:rsid w:val="00394376"/>
    <w:rsid w:val="003943FF"/>
    <w:rsid w:val="003974EB"/>
    <w:rsid w:val="0039771D"/>
    <w:rsid w:val="00397CC5"/>
    <w:rsid w:val="003A11D1"/>
    <w:rsid w:val="003A1582"/>
    <w:rsid w:val="003A3D9C"/>
    <w:rsid w:val="003A4077"/>
    <w:rsid w:val="003A4AA7"/>
    <w:rsid w:val="003B09AD"/>
    <w:rsid w:val="003B180B"/>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0C59"/>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3B7F"/>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2A4"/>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330"/>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AD3"/>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2E28"/>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137"/>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3B89"/>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3603"/>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1562"/>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159B"/>
    <w:rsid w:val="00ED2B50"/>
    <w:rsid w:val="00EE0350"/>
    <w:rsid w:val="00EE0719"/>
    <w:rsid w:val="00EE0E80"/>
    <w:rsid w:val="00EE613F"/>
    <w:rsid w:val="00EE7295"/>
    <w:rsid w:val="00EE7869"/>
    <w:rsid w:val="00EF054A"/>
    <w:rsid w:val="00EF3235"/>
    <w:rsid w:val="00EF7E72"/>
    <w:rsid w:val="00F0563B"/>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1D7A"/>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7FB7928"/>
    <w:rsid w:val="0A3A7913"/>
    <w:rsid w:val="0FAF9DF0"/>
    <w:rsid w:val="0FBB527F"/>
    <w:rsid w:val="11D724CF"/>
    <w:rsid w:val="12A55CF8"/>
    <w:rsid w:val="1BFFFFE4"/>
    <w:rsid w:val="1C5172BA"/>
    <w:rsid w:val="1C721B11"/>
    <w:rsid w:val="1D7CDE43"/>
    <w:rsid w:val="1E7BA29D"/>
    <w:rsid w:val="1FD76241"/>
    <w:rsid w:val="1FD91131"/>
    <w:rsid w:val="1FF94D89"/>
    <w:rsid w:val="20CEBCBA"/>
    <w:rsid w:val="2BF713C4"/>
    <w:rsid w:val="2F4F13F1"/>
    <w:rsid w:val="2F6F2D8B"/>
    <w:rsid w:val="2F7A801A"/>
    <w:rsid w:val="2FF7D609"/>
    <w:rsid w:val="2FFF79B0"/>
    <w:rsid w:val="32FF3458"/>
    <w:rsid w:val="36BDB755"/>
    <w:rsid w:val="36EF3912"/>
    <w:rsid w:val="375F7DFA"/>
    <w:rsid w:val="377F5A8B"/>
    <w:rsid w:val="37AE38A7"/>
    <w:rsid w:val="37D300F0"/>
    <w:rsid w:val="39FF6105"/>
    <w:rsid w:val="3AFF16F5"/>
    <w:rsid w:val="3B629478"/>
    <w:rsid w:val="3BB999A0"/>
    <w:rsid w:val="3BD78A16"/>
    <w:rsid w:val="3CDE5F42"/>
    <w:rsid w:val="3D7B15FE"/>
    <w:rsid w:val="3D7FB88F"/>
    <w:rsid w:val="3DFB26AB"/>
    <w:rsid w:val="3DFF5025"/>
    <w:rsid w:val="3E9BB291"/>
    <w:rsid w:val="3EDA272B"/>
    <w:rsid w:val="3F5F55A3"/>
    <w:rsid w:val="3F6B7ED7"/>
    <w:rsid w:val="3F774CC2"/>
    <w:rsid w:val="3FBFBC8F"/>
    <w:rsid w:val="3FD72D13"/>
    <w:rsid w:val="3FDBDD91"/>
    <w:rsid w:val="3FEF4F3D"/>
    <w:rsid w:val="4790798A"/>
    <w:rsid w:val="49091C64"/>
    <w:rsid w:val="49F7B064"/>
    <w:rsid w:val="4DFFD847"/>
    <w:rsid w:val="4FD3ED7A"/>
    <w:rsid w:val="4FDF9934"/>
    <w:rsid w:val="4FFB3F9A"/>
    <w:rsid w:val="4FFF8566"/>
    <w:rsid w:val="51FFA71C"/>
    <w:rsid w:val="53DBA176"/>
    <w:rsid w:val="54DE1029"/>
    <w:rsid w:val="5B8EC794"/>
    <w:rsid w:val="5ECA7170"/>
    <w:rsid w:val="5F5D4277"/>
    <w:rsid w:val="5F6BAC6B"/>
    <w:rsid w:val="5F7F7E5D"/>
    <w:rsid w:val="5F7FD22A"/>
    <w:rsid w:val="5FBD2DEF"/>
    <w:rsid w:val="5FEF34FE"/>
    <w:rsid w:val="5FFDE62C"/>
    <w:rsid w:val="62FE497E"/>
    <w:rsid w:val="67A139BE"/>
    <w:rsid w:val="67FFD64C"/>
    <w:rsid w:val="69DFE5B6"/>
    <w:rsid w:val="6B67FC03"/>
    <w:rsid w:val="6BBF68D2"/>
    <w:rsid w:val="6BFF4148"/>
    <w:rsid w:val="6BFFB006"/>
    <w:rsid w:val="6E7748AC"/>
    <w:rsid w:val="6E9CF632"/>
    <w:rsid w:val="6EAB0E2E"/>
    <w:rsid w:val="6F7F6579"/>
    <w:rsid w:val="6FB79133"/>
    <w:rsid w:val="6FC7BCF2"/>
    <w:rsid w:val="6FF852DF"/>
    <w:rsid w:val="6FFBB032"/>
    <w:rsid w:val="737DEE51"/>
    <w:rsid w:val="739519BF"/>
    <w:rsid w:val="75FF1B9D"/>
    <w:rsid w:val="76B799EC"/>
    <w:rsid w:val="776F024B"/>
    <w:rsid w:val="77E63DC4"/>
    <w:rsid w:val="77F12D4B"/>
    <w:rsid w:val="7A7F434D"/>
    <w:rsid w:val="7AE92616"/>
    <w:rsid w:val="7B74EBFD"/>
    <w:rsid w:val="7BDBAC84"/>
    <w:rsid w:val="7BEE1B20"/>
    <w:rsid w:val="7BF9AA44"/>
    <w:rsid w:val="7BFCFEC6"/>
    <w:rsid w:val="7D7F9512"/>
    <w:rsid w:val="7DCE0502"/>
    <w:rsid w:val="7E7C23DE"/>
    <w:rsid w:val="7E7E5E6E"/>
    <w:rsid w:val="7E9B8D27"/>
    <w:rsid w:val="7ECF3C1C"/>
    <w:rsid w:val="7EDED482"/>
    <w:rsid w:val="7EEF44A9"/>
    <w:rsid w:val="7EFF0979"/>
    <w:rsid w:val="7EFF9CF9"/>
    <w:rsid w:val="7F373E70"/>
    <w:rsid w:val="7F3F3BE7"/>
    <w:rsid w:val="7F551EF5"/>
    <w:rsid w:val="7F761365"/>
    <w:rsid w:val="7FA6ACB7"/>
    <w:rsid w:val="7FDB9D57"/>
    <w:rsid w:val="7FDF3981"/>
    <w:rsid w:val="7FF5006B"/>
    <w:rsid w:val="7FF7E96B"/>
    <w:rsid w:val="7FF7F9A0"/>
    <w:rsid w:val="7FFB0408"/>
    <w:rsid w:val="7FFF730D"/>
    <w:rsid w:val="7FFF89EC"/>
    <w:rsid w:val="93BB06AC"/>
    <w:rsid w:val="99D73A75"/>
    <w:rsid w:val="9BBB6695"/>
    <w:rsid w:val="9BF7FF8D"/>
    <w:rsid w:val="9BFF1F24"/>
    <w:rsid w:val="9DDF36B6"/>
    <w:rsid w:val="9F6AA57C"/>
    <w:rsid w:val="9F7F2C98"/>
    <w:rsid w:val="9FBF1D8D"/>
    <w:rsid w:val="A3FF0492"/>
    <w:rsid w:val="AB6764BD"/>
    <w:rsid w:val="ADE07DE0"/>
    <w:rsid w:val="AF7E7DA3"/>
    <w:rsid w:val="AFEE4730"/>
    <w:rsid w:val="AFFE57E3"/>
    <w:rsid w:val="B67EC812"/>
    <w:rsid w:val="B7FF83DD"/>
    <w:rsid w:val="B7FF8842"/>
    <w:rsid w:val="BBE83D3D"/>
    <w:rsid w:val="BBEF7622"/>
    <w:rsid w:val="BCDF7A0F"/>
    <w:rsid w:val="BEF73249"/>
    <w:rsid w:val="BEFDFF16"/>
    <w:rsid w:val="BF7EB117"/>
    <w:rsid w:val="BFDBC21A"/>
    <w:rsid w:val="BFEDA348"/>
    <w:rsid w:val="BFF7D35B"/>
    <w:rsid w:val="C9CFD455"/>
    <w:rsid w:val="C9D9EBCA"/>
    <w:rsid w:val="CBF6A5EA"/>
    <w:rsid w:val="CE398439"/>
    <w:rsid w:val="CEE99854"/>
    <w:rsid w:val="CFAD247D"/>
    <w:rsid w:val="CFBFBABC"/>
    <w:rsid w:val="CFFABC9F"/>
    <w:rsid w:val="D2B701E4"/>
    <w:rsid w:val="D2BDA2B6"/>
    <w:rsid w:val="D4F28938"/>
    <w:rsid w:val="D6739D67"/>
    <w:rsid w:val="D689D6A2"/>
    <w:rsid w:val="D6DBF9EC"/>
    <w:rsid w:val="D6FFC563"/>
    <w:rsid w:val="D7730B0D"/>
    <w:rsid w:val="D7F5D916"/>
    <w:rsid w:val="D9FFAA6F"/>
    <w:rsid w:val="DBBDA07E"/>
    <w:rsid w:val="DD5F1575"/>
    <w:rsid w:val="DD7B3115"/>
    <w:rsid w:val="DE6D1B26"/>
    <w:rsid w:val="DEFFF849"/>
    <w:rsid w:val="DF17B658"/>
    <w:rsid w:val="DFDEB669"/>
    <w:rsid w:val="DFEB6742"/>
    <w:rsid w:val="DFEBAFAC"/>
    <w:rsid w:val="DFFCBC37"/>
    <w:rsid w:val="E7FD6781"/>
    <w:rsid w:val="EA7DBEE5"/>
    <w:rsid w:val="EA7F5015"/>
    <w:rsid w:val="EDCD401C"/>
    <w:rsid w:val="EEFF7F46"/>
    <w:rsid w:val="EFB36C70"/>
    <w:rsid w:val="EFB4EF6A"/>
    <w:rsid w:val="EFBBCB15"/>
    <w:rsid w:val="EFCB50D8"/>
    <w:rsid w:val="EFD5D974"/>
    <w:rsid w:val="EFDF4057"/>
    <w:rsid w:val="EFFDD024"/>
    <w:rsid w:val="F0E7B9AC"/>
    <w:rsid w:val="F2EEF22F"/>
    <w:rsid w:val="F3FF7A9A"/>
    <w:rsid w:val="F3FFEB90"/>
    <w:rsid w:val="F56B9A81"/>
    <w:rsid w:val="F63FBF07"/>
    <w:rsid w:val="F6F7695C"/>
    <w:rsid w:val="F6FD9D72"/>
    <w:rsid w:val="F6FF1F30"/>
    <w:rsid w:val="F76DC27C"/>
    <w:rsid w:val="F76F9E3A"/>
    <w:rsid w:val="F7ADEF31"/>
    <w:rsid w:val="F7B18ABC"/>
    <w:rsid w:val="F7BED23C"/>
    <w:rsid w:val="F7CDE5A5"/>
    <w:rsid w:val="F7D4869B"/>
    <w:rsid w:val="F7EBCC2D"/>
    <w:rsid w:val="F7FBD40F"/>
    <w:rsid w:val="F7FED3E5"/>
    <w:rsid w:val="F8FD9DC3"/>
    <w:rsid w:val="F8FF7075"/>
    <w:rsid w:val="F9543853"/>
    <w:rsid w:val="F9DD8453"/>
    <w:rsid w:val="FA36A224"/>
    <w:rsid w:val="FA7A22FF"/>
    <w:rsid w:val="FAFFE3BB"/>
    <w:rsid w:val="FB5D7E5B"/>
    <w:rsid w:val="FB97157C"/>
    <w:rsid w:val="FBF79956"/>
    <w:rsid w:val="FBFE55C6"/>
    <w:rsid w:val="FBFFA9BF"/>
    <w:rsid w:val="FC4FFDAF"/>
    <w:rsid w:val="FC7F5AE6"/>
    <w:rsid w:val="FD573BCB"/>
    <w:rsid w:val="FDB5594D"/>
    <w:rsid w:val="FDFA1432"/>
    <w:rsid w:val="FDFF934C"/>
    <w:rsid w:val="FDFFDF16"/>
    <w:rsid w:val="FDFFE604"/>
    <w:rsid w:val="FECF197C"/>
    <w:rsid w:val="FEEED526"/>
    <w:rsid w:val="FEFDD4E5"/>
    <w:rsid w:val="FF1CCC4F"/>
    <w:rsid w:val="FF7751DF"/>
    <w:rsid w:val="FF852AAE"/>
    <w:rsid w:val="FF8964CE"/>
    <w:rsid w:val="FF9F0361"/>
    <w:rsid w:val="FFD732AB"/>
    <w:rsid w:val="FFD8FE92"/>
    <w:rsid w:val="FFF7ABE7"/>
    <w:rsid w:val="FFFA615D"/>
    <w:rsid w:val="FFFC946B"/>
    <w:rsid w:val="FFFD1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table" w:customStyle="1" w:styleId="230">
    <w:name w:val="网格型1"/>
    <w:basedOn w:val="2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
    <w:name w:val="网格型2"/>
    <w:basedOn w:val="26"/>
    <w:qFormat/>
    <w:uiPriority w:val="0"/>
    <w:pPr>
      <w:widowControl w:val="0"/>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nis/C:\home\unis\C:\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4A24D7E79444214BCA4C10EDA124FE0"/>
        <w:style w:val=""/>
        <w:category>
          <w:name w:val="常规"/>
          <w:gallery w:val="placeholder"/>
        </w:category>
        <w:types>
          <w:type w:val="bbPlcHdr"/>
        </w:types>
        <w:behaviors>
          <w:behavior w:val="content"/>
        </w:behaviors>
        <w:description w:val=""/>
        <w:guid w:val="{8713DA0C-4DCE-480B-9462-6AC887CCBBAA}"/>
      </w:docPartPr>
      <w:docPartBody>
        <w:p>
          <w:pPr>
            <w:pStyle w:val="5"/>
            <w:rPr>
              <w:rFonts w:hint="eastAsia"/>
            </w:rPr>
          </w:pPr>
          <w:r>
            <w:rPr>
              <w:rStyle w:val="4"/>
              <w:rFonts w:hint="eastAsia"/>
            </w:rPr>
            <w:t>单击或点击此处输入文字。</w:t>
          </w:r>
        </w:p>
      </w:docPartBody>
    </w:docPart>
    <w:docPart>
      <w:docPartPr>
        <w:name w:val="4CCAEAE5C67646E3B9BCA58AA3EAA407"/>
        <w:style w:val=""/>
        <w:category>
          <w:name w:val="常规"/>
          <w:gallery w:val="placeholder"/>
        </w:category>
        <w:types>
          <w:type w:val="bbPlcHdr"/>
        </w:types>
        <w:behaviors>
          <w:behavior w:val="content"/>
        </w:behaviors>
        <w:description w:val=""/>
        <w:guid w:val="{EA299C02-7A53-4954-B703-D55DA07645E1}"/>
      </w:docPartPr>
      <w:docPartBody>
        <w:p>
          <w:pPr>
            <w:pStyle w:val="6"/>
            <w:rPr>
              <w:rFonts w:hint="eastAsia"/>
            </w:rPr>
          </w:pPr>
          <w:r>
            <w:rPr>
              <w:rStyle w:val="4"/>
              <w:rFonts w:hint="eastAsia"/>
            </w:rPr>
            <w:t>选择一项。</w:t>
          </w:r>
        </w:p>
      </w:docPartBody>
    </w:docPart>
    <w:docPart>
      <w:docPartPr>
        <w:name w:val="FA9D6C42F06346B9A9A5B3F00721E8CE"/>
        <w:style w:val=""/>
        <w:category>
          <w:name w:val="常规"/>
          <w:gallery w:val="placeholder"/>
        </w:category>
        <w:types>
          <w:type w:val="bbPlcHdr"/>
        </w:types>
        <w:behaviors>
          <w:behavior w:val="content"/>
        </w:behaviors>
        <w:description w:val=""/>
        <w:guid w:val="{F231FBBE-CE1F-4ADC-9F2B-E24A301F6E81}"/>
      </w:docPartPr>
      <w:docPartBody>
        <w:p>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5E5"/>
    <w:rsid w:val="000D6C05"/>
    <w:rsid w:val="003A05E5"/>
    <w:rsid w:val="00840E0C"/>
    <w:rsid w:val="00902E28"/>
    <w:rsid w:val="009B5D29"/>
    <w:rsid w:val="00A51B50"/>
    <w:rsid w:val="00ED159B"/>
    <w:rsid w:val="00F91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4A24D7E79444214BCA4C10EDA124FE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4CCAEAE5C67646E3B9BCA58AA3EAA40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FA9D6C42F06346B9A9A5B3F00721E8C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11</Pages>
  <Words>2856</Words>
  <Characters>3134</Characters>
  <Lines>79</Lines>
  <Paragraphs>22</Paragraphs>
  <TotalTime>16</TotalTime>
  <ScaleCrop>false</ScaleCrop>
  <LinksUpToDate>false</LinksUpToDate>
  <CharactersWithSpaces>3230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2026-07-13T17:46:00Z</dcterms:created>
  <dc:creator>11497</dc:creator>
  <dc:description>&lt;config cover="true" show_menu="true" version="1.0.0" doctype="SDKXY"&gt;_x000d_
&lt;/config&gt;</dc:description>
  <cp:lastModifiedBy>unis</cp:lastModifiedBy>
  <cp:lastPrinted>2026-09-09T00:13:00Z</cp:lastPrinted>
  <dcterms:modified xsi:type="dcterms:W3CDTF">2026-09-08T14:27:43Z</dcterms:modified>
  <dc:title>团体标准</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eyJoZGlkIjoiZTk4MjE0NWFmNDU5ZjFmMmE0ODZkNzhiYWQ3ZGIwNDEiLCJ1c2VySWQiOiI3Njk1MjkyMTAifQ==</vt:lpwstr>
  </property>
  <property fmtid="{D5CDD505-2E9C-101B-9397-08002B2CF9AE}" pid="15" name="KSOProductBuildVer">
    <vt:lpwstr>2052-11.8.2.10953</vt:lpwstr>
  </property>
  <property fmtid="{D5CDD505-2E9C-101B-9397-08002B2CF9AE}" pid="16" name="ICV">
    <vt:lpwstr>15D48DE7D9994510A6FE897B150C6620_13</vt:lpwstr>
  </property>
</Properties>
</file>