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line="240" w:lineRule="auto"/>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     </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27"/>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pPr>
                    <w:pStyle w:val="49"/>
                    <w:framePr w:wrap="notBeside" w:vAnchor="page" w:hAnchor="page" w:x="1372" w:y="568"/>
                    <w:ind w:left="420" w:right="624"/>
                    <w:rPr>
                      <w:rFonts w:hint="eastAsia" w:ascii="宋体" w:hAnsi="宋体"/>
                      <w:sz w:val="28"/>
                      <w:szCs w:val="28"/>
                    </w:rPr>
                  </w:pPr>
                  <w:r>
                    <w:drawing>
                      <wp:inline distT="0" distB="0" distL="0" distR="0">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r>
                    <w:drawing>
                      <wp:inline distT="0" distB="0" distL="0" distR="0">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04571" cy="522509"/>
                                </a:xfrm>
                                <a:prstGeom prst="rect">
                                  <a:avLst/>
                                </a:prstGeom>
                                <a:noFill/>
                                <a:ln>
                                  <a:noFill/>
                                </a:ln>
                              </pic:spPr>
                            </pic:pic>
                          </a:graphicData>
                        </a:graphic>
                      </wp:inline>
                    </w:drawing>
                  </w:r>
                  <w:r>
                    <w:rPr>
                      <w:sz w:val="21"/>
                      <w:szCs w:val="21"/>
                    </w:rPr>
                    <w:t xml:space="preserve"> </w:t>
                  </w:r>
                  <w:r>
                    <w:fldChar w:fldCharType="begin">
                      <w:ffData>
                        <w:name w:val="c1"/>
                        <w:enabled/>
                        <w:calcOnExit w:val="0"/>
                        <w:textInput>
                          <w:maxLength w:val="7"/>
                        </w:textInput>
                      </w:ffData>
                    </w:fldChar>
                  </w:r>
                  <w:bookmarkStart w:id="1" w:name="c1"/>
                  <w:r>
                    <w:instrText xml:space="preserve"> FORMTEXT </w:instrText>
                  </w:r>
                  <w:r>
                    <w:fldChar w:fldCharType="separate"/>
                  </w:r>
                  <w:r>
                    <w:t>     </w:t>
                  </w:r>
                  <w:r>
                    <w:fldChar w:fldCharType="end"/>
                  </w:r>
                  <w:bookmarkEnd w:id="1"/>
                </w:p>
              </w:tc>
            </w:tr>
          </w:tbl>
          <w:p>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2"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点击此处添加CCS号</w:t>
            </w:r>
            <w:r>
              <w:rPr>
                <w:rFonts w:ascii="黑体" w:hAnsi="黑体" w:eastAsia="黑体"/>
                <w:sz w:val="21"/>
                <w:szCs w:val="21"/>
              </w:rPr>
              <w:fldChar w:fldCharType="end"/>
            </w:r>
            <w:bookmarkEnd w:id="2"/>
          </w:p>
        </w:tc>
      </w:tr>
    </w:tbl>
    <w:p>
      <w:pPr>
        <w:pStyle w:val="50"/>
        <w:framePr w:w="9639" w:h="624" w:hRule="exact" w:hSpace="181" w:vSpace="181" w:wrap="around" w:hAnchor="page" w:x="1305" w:y="2269"/>
        <w:rPr>
          <w:rFonts w:hint="eastAsia" w:ascii="黑体" w:hAnsi="黑体" w:eastAsia="黑体"/>
          <w:b w:val="0"/>
          <w:bCs w:val="0"/>
          <w:w w:val="100"/>
          <w:sz w:val="48"/>
          <w:szCs w:val="48"/>
        </w:rPr>
      </w:pPr>
      <w:bookmarkStart w:id="3" w:name="_Hlk26473981"/>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ascii="黑体" w:eastAsia="黑体"/>
          <w:b w:val="0"/>
          <w:w w:val="100"/>
          <w:sz w:val="48"/>
        </w:rPr>
        <w:t>     </w:t>
      </w:r>
      <w:r>
        <w:rPr>
          <w:rFonts w:ascii="黑体" w:eastAsia="黑体"/>
          <w:b w:val="0"/>
          <w:w w:val="100"/>
          <w:sz w:val="48"/>
        </w:rPr>
        <w:fldChar w:fldCharType="end"/>
      </w:r>
      <w:bookmarkEnd w:id="4"/>
      <w:r>
        <w:rPr>
          <w:rFonts w:hint="eastAsia" w:ascii="黑体" w:eastAsia="黑体"/>
          <w:b w:val="0"/>
          <w:w w:val="100"/>
          <w:sz w:val="48"/>
        </w:rPr>
        <w:t>团体</w:t>
      </w:r>
      <w:r>
        <w:rPr>
          <w:rFonts w:hint="eastAsia" w:ascii="黑体" w:hAnsi="黑体" w:eastAsia="黑体"/>
          <w:b w:val="0"/>
          <w:bCs w:val="0"/>
          <w:w w:val="100"/>
          <w:sz w:val="48"/>
          <w:szCs w:val="48"/>
        </w:rPr>
        <w:t>标准</w:t>
      </w:r>
    </w:p>
    <w:bookmarkEnd w:id="3"/>
    <w:p>
      <w:pPr>
        <w:pStyle w:val="195"/>
      </w:pPr>
      <w:r>
        <w:t>T/</w:t>
      </w:r>
      <w:r>
        <w:fldChar w:fldCharType="begin">
          <w:ffData>
            <w:name w:val="文字1"/>
            <w:enabled/>
            <w:calcOnExit w:val="0"/>
            <w:textInput>
              <w:default w:val="XXX"/>
            </w:textInput>
          </w:ffData>
        </w:fldChar>
      </w:r>
      <w:bookmarkStart w:id="5" w:name="文字1"/>
      <w:r>
        <w:instrText xml:space="preserve"> FORMTEXT </w:instrText>
      </w:r>
      <w:r>
        <w:fldChar w:fldCharType="separate"/>
      </w:r>
      <w:r>
        <w:t>XXX</w:t>
      </w:r>
      <w:r>
        <w:fldChar w:fldCharType="end"/>
      </w:r>
      <w:bookmarkEnd w:id="5"/>
      <w:r>
        <w:t xml:space="preserve"> </w:t>
      </w:r>
      <w:r>
        <w:fldChar w:fldCharType="begin">
          <w:ffData>
            <w:name w:val="NSTD_CODE_F"/>
            <w:enabled/>
            <w:calcOnExit w:val="0"/>
            <w:textInput>
              <w:default w:val="XXXX"/>
            </w:textInput>
          </w:ffData>
        </w:fldChar>
      </w:r>
      <w:bookmarkStart w:id="6" w:name="NSTD_CODE_F"/>
      <w:r>
        <w:instrText xml:space="preserve"> FORMTEXT </w:instrText>
      </w:r>
      <w:r>
        <w:fldChar w:fldCharType="separate"/>
      </w:r>
      <w:r>
        <w:t>XXXX</w:t>
      </w:r>
      <w:r>
        <w:fldChar w:fldCharType="end"/>
      </w:r>
      <w:bookmarkEnd w:id="6"/>
      <w:r>
        <w:rPr>
          <w:rFonts w:hAnsi="黑体"/>
        </w:rPr>
        <w:t>—</w:t>
      </w:r>
      <w:r>
        <w:fldChar w:fldCharType="begin">
          <w:ffData>
            <w:name w:val="NSTD_CODE_B"/>
            <w:enabled/>
            <w:calcOnExit w:val="0"/>
            <w:textInput>
              <w:default w:val="XXXX"/>
            </w:textInput>
          </w:ffData>
        </w:fldChar>
      </w:r>
      <w:bookmarkStart w:id="7" w:name="NSTD_CODE_B"/>
      <w:r>
        <w:instrText xml:space="preserve"> FORMTEXT </w:instrText>
      </w:r>
      <w:r>
        <w:fldChar w:fldCharType="separate"/>
      </w:r>
      <w:r>
        <w:t>XXXX</w:t>
      </w:r>
      <w:r>
        <w:fldChar w:fldCharType="end"/>
      </w:r>
      <w:bookmarkEnd w:id="7"/>
    </w:p>
    <w:p>
      <w:pPr>
        <w:pStyle w:val="196"/>
        <w:rPr>
          <w:rFonts w:hint="eastAsia"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J4NJltgAAAAMAQAADwAAAAAAAAABACAAAAA4AAAAZHJzL2Rvd25yZXYu&#10;eG1sUEsBAhQAFAAAAAgAh07iQLvgymblAQAArAMAAA4AAAAAAAAAAQAgAAAAPQEAAGRycy9lMm9E&#10;b2MueG1sUEsFBgAAAAAGAAYAWQEAAJQFAAAAAA==&#10;">
                <v:fill on="f" focussize="0,0"/>
                <v:stroke color="#000000" joinstyle="round"/>
                <v:imagedata o:title=""/>
                <o:lock v:ext="edit" aspectratio="f"/>
              </v:line>
            </w:pict>
          </mc:Fallback>
        </mc:AlternateContent>
      </w:r>
    </w:p>
    <w:p>
      <w:pPr>
        <w:pStyle w:val="50"/>
        <w:framePr w:w="9639" w:h="6976" w:hRule="exact" w:hSpace="0" w:vSpace="0" w:wrap="around" w:hAnchor="page" w:y="6408"/>
        <w:jc w:val="center"/>
        <w:rPr>
          <w:rFonts w:hint="eastAsia" w:ascii="黑体" w:hAnsi="黑体" w:eastAsia="黑体"/>
          <w:b w:val="0"/>
          <w:bCs w:val="0"/>
          <w:w w:val="100"/>
        </w:rPr>
      </w:pPr>
    </w:p>
    <w:p>
      <w:pPr>
        <w:pStyle w:val="197"/>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t>专利代理师能力无感评价规范</w:t>
      </w:r>
      <w:r>
        <w:fldChar w:fldCharType="end"/>
      </w:r>
      <w:bookmarkEnd w:id="9"/>
    </w:p>
    <w:p>
      <w:pPr>
        <w:framePr w:w="9639" w:h="6974" w:hRule="exact" w:wrap="around" w:vAnchor="page" w:hAnchor="page" w:x="1419" w:y="6408" w:anchorLock="1"/>
        <w:ind w:left="-1418"/>
      </w:pPr>
    </w:p>
    <w:p>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fldChar w:fldCharType="separate"/>
      </w:r>
      <w:r>
        <w:rPr>
          <w:rFonts w:eastAsia="黑体"/>
          <w:szCs w:val="28"/>
        </w:rPr>
        <w:t xml:space="preserve">Code for </w:t>
      </w:r>
      <w:r>
        <w:rPr>
          <w:rFonts w:hint="eastAsia" w:eastAsia="黑体"/>
          <w:szCs w:val="28"/>
          <w:lang w:val="en-US" w:eastAsia="zh-CN"/>
        </w:rPr>
        <w:t>U</w:t>
      </w:r>
      <w:r>
        <w:rPr>
          <w:rFonts w:hint="eastAsia" w:eastAsia="黑体"/>
          <w:szCs w:val="28"/>
        </w:rPr>
        <w:t>nconsciously</w:t>
      </w:r>
      <w:r>
        <w:rPr>
          <w:rFonts w:eastAsia="黑体"/>
          <w:szCs w:val="28"/>
        </w:rPr>
        <w:t xml:space="preserve"> evaluation of patent agent</w:t>
      </w:r>
      <w:r>
        <w:rPr>
          <w:rFonts w:eastAsia="黑体"/>
          <w:szCs w:val="28"/>
        </w:rPr>
        <w:fldChar w:fldCharType="end"/>
      </w:r>
      <w:bookmarkEnd w:id="10"/>
    </w:p>
    <w:p>
      <w:pPr>
        <w:framePr w:w="9639" w:h="6974" w:hRule="exact" w:wrap="around" w:vAnchor="page" w:hAnchor="page" w:x="1419" w:y="6408" w:anchorLock="1"/>
        <w:spacing w:line="760" w:lineRule="exact"/>
        <w:ind w:left="-1418"/>
      </w:pPr>
    </w:p>
    <w:p>
      <w:pPr>
        <w:pStyle w:val="125"/>
        <w:framePr w:w="9639" w:h="6974" w:hRule="exact" w:wrap="around" w:vAnchor="page" w:hAnchor="page" w:x="1419" w:y="6408" w:anchorLock="1"/>
        <w:textAlignment w:val="bottom"/>
        <w:rPr>
          <w:rFonts w:eastAsia="黑体"/>
          <w:szCs w:val="28"/>
        </w:rPr>
      </w:pPr>
    </w:p>
    <w:p>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11"/>
    </w:p>
    <w:p>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2"/>
    </w:p>
    <w:p>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p>
    <w:p>
      <w:pPr>
        <w:pStyle w:val="193"/>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发布</w:t>
      </w:r>
    </w:p>
    <w:p>
      <w:pPr>
        <w:pStyle w:val="194"/>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rPr>
          <w:rFonts w:hint="eastAsia"/>
        </w:rPr>
        <w:t>实施</w:t>
      </w:r>
    </w:p>
    <w:p>
      <w:pPr>
        <w:pStyle w:val="151"/>
        <w:framePr w:h="584" w:hRule="exact" w:hSpace="181" w:vSpace="181" w:wrap="around" w:y="14800"/>
        <w:rPr>
          <w:rFonts w:hint="eastAsia"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fldChar w:fldCharType="separate"/>
      </w:r>
      <w:r>
        <w:rPr>
          <w:rFonts w:hAnsi="黑体"/>
          <w:w w:val="100"/>
          <w:sz w:val="28"/>
        </w:rPr>
        <w:t>     </w:t>
      </w:r>
      <w:r>
        <w:rPr>
          <w:rFonts w:hAnsi="黑体"/>
          <w:w w:val="100"/>
          <w:sz w:val="28"/>
        </w:rPr>
        <w:fldChar w:fldCharType="end"/>
      </w:r>
      <w:bookmarkEnd w:id="20"/>
      <w:r>
        <w:rPr>
          <w:rFonts w:ascii="Times New Roman"/>
          <w:w w:val="100"/>
          <w:sz w:val="28"/>
        </w:rPr>
        <w:t>  </w:t>
      </w:r>
      <w:r>
        <w:rPr>
          <w:rStyle w:val="229"/>
          <w:rFonts w:hint="eastAsia" w:hAnsi="黑体"/>
          <w:position w:val="0"/>
        </w:rPr>
        <w:t>发</w:t>
      </w:r>
      <w:r>
        <w:rPr>
          <w:rStyle w:val="229"/>
          <w:rFonts w:hint="eastAsia" w:hAnsi="黑体"/>
          <w:spacing w:val="0"/>
          <w:position w:val="0"/>
        </w:rPr>
        <w:t>布</w:t>
      </w:r>
    </w:p>
    <w:p>
      <w:pPr>
        <w:rPr>
          <w:rFonts w:hint="eastAsia"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qzMc+9cAAAAOAQAADwAAAAAAAAABACAAAAA4AAAAZHJzL2Rvd25yZXYueG1s&#10;UEsBAhQAFAAAAAgAh07iQFkuJZjjAQAAqgMAAA4AAAAAAAAAAQAgAAAAPAEAAGRycy9lMm9Eb2Mu&#10;eG1sUEsFBgAAAAAGAAYAWQEAAJEFAAAAAA==&#10;">
                <v:fill on="f" focussize="0,0"/>
                <v:stroke color="#000000" joinstyle="round"/>
                <v:imagedata o:title=""/>
                <o:lock v:ext="edit" aspectratio="f"/>
                <w10:anchorlock/>
              </v:line>
            </w:pict>
          </mc:Fallback>
        </mc:AlternateContent>
      </w:r>
    </w:p>
    <w:p>
      <w:pPr>
        <w:pStyle w:val="91"/>
        <w:spacing w:after="360"/>
        <w:rPr>
          <w:rFonts w:hint="eastAsia"/>
        </w:rPr>
      </w:pPr>
      <w:bookmarkStart w:id="21" w:name="BookMark2"/>
      <w:r>
        <w:rPr>
          <w:rFonts w:hint="eastAsia"/>
          <w:spacing w:val="320"/>
        </w:rPr>
        <w:t>目</w:t>
      </w:r>
      <w:r>
        <w:rPr>
          <w:rFonts w:hint="eastAsia"/>
        </w:rPr>
        <w:t>次</w:t>
      </w:r>
    </w:p>
    <w:p>
      <w:pPr>
        <w:pStyle w:val="19"/>
        <w:tabs>
          <w:tab w:val="right" w:leader="dot" w:pos="9354"/>
        </w:tabs>
      </w:pPr>
      <w:r>
        <w:fldChar w:fldCharType="begin"/>
      </w:r>
      <w:r>
        <w:instrText xml:space="preserve"> TOC \o "1-1" \h \t "标准文件_一级条标题,2,标准文件_附录一级条标题,2," </w:instrText>
      </w:r>
      <w:r>
        <w:fldChar w:fldCharType="separate"/>
      </w:r>
      <w:r>
        <w:fldChar w:fldCharType="begin"/>
      </w:r>
      <w:r>
        <w:instrText xml:space="preserve"> HYPERLINK \l _Toc1158146762 </w:instrText>
      </w:r>
      <w:r>
        <w:fldChar w:fldCharType="separate"/>
      </w:r>
      <w:r>
        <w:rPr>
          <w:rFonts w:hint="eastAsia"/>
          <w:spacing w:val="320"/>
        </w:rPr>
        <w:t>前</w:t>
      </w:r>
      <w:r>
        <w:rPr>
          <w:rFonts w:hint="eastAsia"/>
        </w:rPr>
        <w:t>言</w:t>
      </w:r>
      <w:r>
        <w:tab/>
      </w:r>
      <w:r>
        <w:fldChar w:fldCharType="begin"/>
      </w:r>
      <w:r>
        <w:instrText xml:space="preserve"> PAGEREF _Toc1158146762 \h </w:instrText>
      </w:r>
      <w:r>
        <w:fldChar w:fldCharType="separate"/>
      </w:r>
      <w:r>
        <w:t>II</w:t>
      </w:r>
      <w:r>
        <w:fldChar w:fldCharType="end"/>
      </w:r>
      <w:r>
        <w:fldChar w:fldCharType="end"/>
      </w:r>
    </w:p>
    <w:p>
      <w:pPr>
        <w:pStyle w:val="19"/>
        <w:tabs>
          <w:tab w:val="right" w:leader="dot" w:pos="9354"/>
        </w:tabs>
      </w:pPr>
      <w:r>
        <w:fldChar w:fldCharType="begin"/>
      </w:r>
      <w:r>
        <w:instrText xml:space="preserve"> HYPERLINK \l _Toc1624181865 </w:instrText>
      </w:r>
      <w:r>
        <w:fldChar w:fldCharType="separate"/>
      </w:r>
      <w:r>
        <w:rPr>
          <w:rFonts w:hint="eastAsia" w:ascii="黑体" w:eastAsia="黑体"/>
          <w:i w:val="0"/>
        </w:rPr>
        <w:t xml:space="preserve">1 </w:t>
      </w:r>
      <w:r>
        <w:rPr>
          <w:rFonts w:hint="eastAsia"/>
        </w:rPr>
        <w:t>范围</w:t>
      </w:r>
      <w:r>
        <w:tab/>
      </w:r>
      <w:r>
        <w:fldChar w:fldCharType="begin"/>
      </w:r>
      <w:r>
        <w:instrText xml:space="preserve"> PAGEREF _Toc1624181865 \h </w:instrText>
      </w:r>
      <w:r>
        <w:fldChar w:fldCharType="separate"/>
      </w:r>
      <w:r>
        <w:t>3</w:t>
      </w:r>
      <w:r>
        <w:fldChar w:fldCharType="end"/>
      </w:r>
      <w:r>
        <w:fldChar w:fldCharType="end"/>
      </w:r>
    </w:p>
    <w:p>
      <w:pPr>
        <w:pStyle w:val="19"/>
        <w:tabs>
          <w:tab w:val="right" w:leader="dot" w:pos="9354"/>
        </w:tabs>
      </w:pPr>
      <w:r>
        <w:fldChar w:fldCharType="begin"/>
      </w:r>
      <w:r>
        <w:instrText xml:space="preserve"> HYPERLINK \l _Toc924675161 </w:instrText>
      </w:r>
      <w:r>
        <w:fldChar w:fldCharType="separate"/>
      </w:r>
      <w:r>
        <w:rPr>
          <w:rFonts w:hint="eastAsia" w:ascii="黑体" w:eastAsia="黑体"/>
          <w:i w:val="0"/>
        </w:rPr>
        <w:t xml:space="preserve">2 </w:t>
      </w:r>
      <w:r>
        <w:rPr>
          <w:rFonts w:hint="eastAsia"/>
        </w:rPr>
        <w:t>规范性引用文件</w:t>
      </w:r>
      <w:r>
        <w:tab/>
      </w:r>
      <w:r>
        <w:fldChar w:fldCharType="begin"/>
      </w:r>
      <w:r>
        <w:instrText xml:space="preserve"> PAGEREF _Toc924675161 \h </w:instrText>
      </w:r>
      <w:r>
        <w:fldChar w:fldCharType="separate"/>
      </w:r>
      <w:r>
        <w:t>3</w:t>
      </w:r>
      <w:r>
        <w:fldChar w:fldCharType="end"/>
      </w:r>
      <w:r>
        <w:fldChar w:fldCharType="end"/>
      </w:r>
    </w:p>
    <w:p>
      <w:pPr>
        <w:pStyle w:val="19"/>
        <w:tabs>
          <w:tab w:val="right" w:leader="dot" w:pos="9354"/>
        </w:tabs>
      </w:pPr>
      <w:r>
        <w:fldChar w:fldCharType="begin"/>
      </w:r>
      <w:r>
        <w:instrText xml:space="preserve"> HYPERLINK \l _Toc831586042 </w:instrText>
      </w:r>
      <w:r>
        <w:fldChar w:fldCharType="separate"/>
      </w:r>
      <w:r>
        <w:rPr>
          <w:rFonts w:hint="eastAsia" w:ascii="黑体" w:eastAsia="黑体"/>
          <w:i w:val="0"/>
        </w:rPr>
        <w:t xml:space="preserve">3 </w:t>
      </w:r>
      <w:r>
        <w:rPr>
          <w:rFonts w:hint="eastAsia"/>
          <w:szCs w:val="21"/>
        </w:rPr>
        <w:t>术语和定义</w:t>
      </w:r>
      <w:r>
        <w:tab/>
      </w:r>
      <w:r>
        <w:fldChar w:fldCharType="begin"/>
      </w:r>
      <w:r>
        <w:instrText xml:space="preserve"> PAGEREF _Toc831586042 \h </w:instrText>
      </w:r>
      <w:r>
        <w:fldChar w:fldCharType="separate"/>
      </w:r>
      <w:r>
        <w:t>3</w:t>
      </w:r>
      <w:r>
        <w:fldChar w:fldCharType="end"/>
      </w:r>
      <w:r>
        <w:fldChar w:fldCharType="end"/>
      </w:r>
    </w:p>
    <w:p>
      <w:pPr>
        <w:pStyle w:val="19"/>
        <w:tabs>
          <w:tab w:val="right" w:leader="dot" w:pos="9354"/>
        </w:tabs>
      </w:pPr>
      <w:r>
        <w:fldChar w:fldCharType="begin"/>
      </w:r>
      <w:r>
        <w:instrText xml:space="preserve"> HYPERLINK \l _Toc1476281661 </w:instrText>
      </w:r>
      <w:r>
        <w:fldChar w:fldCharType="separate"/>
      </w:r>
      <w:r>
        <w:rPr>
          <w:rFonts w:hint="eastAsia" w:ascii="黑体" w:eastAsia="黑体"/>
          <w:i w:val="0"/>
        </w:rPr>
        <w:t xml:space="preserve">4 </w:t>
      </w:r>
      <w:r>
        <w:rPr>
          <w:rFonts w:hint="eastAsia"/>
        </w:rPr>
        <w:t>评价原则</w:t>
      </w:r>
      <w:r>
        <w:tab/>
      </w:r>
      <w:r>
        <w:fldChar w:fldCharType="begin"/>
      </w:r>
      <w:r>
        <w:instrText xml:space="preserve"> PAGEREF _Toc1476281661 \h </w:instrText>
      </w:r>
      <w:r>
        <w:fldChar w:fldCharType="separate"/>
      </w:r>
      <w:r>
        <w:t>3</w:t>
      </w:r>
      <w:r>
        <w:fldChar w:fldCharType="end"/>
      </w:r>
      <w:r>
        <w:fldChar w:fldCharType="end"/>
      </w:r>
    </w:p>
    <w:p>
      <w:pPr>
        <w:pStyle w:val="24"/>
        <w:tabs>
          <w:tab w:val="right" w:leader="dot" w:pos="9354"/>
          <w:tab w:val="clear" w:pos="9344"/>
        </w:tabs>
      </w:pPr>
      <w:r>
        <w:fldChar w:fldCharType="begin"/>
      </w:r>
      <w:r>
        <w:instrText xml:space="preserve"> HYPERLINK \l _Toc1574192848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4.1 </w:t>
      </w:r>
      <w:r>
        <w:rPr>
          <w:rFonts w:hint="eastAsia"/>
        </w:rPr>
        <w:t>客观性</w:t>
      </w:r>
      <w:r>
        <w:tab/>
      </w:r>
      <w:r>
        <w:fldChar w:fldCharType="begin"/>
      </w:r>
      <w:r>
        <w:instrText xml:space="preserve"> PAGEREF _Toc1574192848 \h </w:instrText>
      </w:r>
      <w:r>
        <w:fldChar w:fldCharType="separate"/>
      </w:r>
      <w:r>
        <w:t>3</w:t>
      </w:r>
      <w:r>
        <w:fldChar w:fldCharType="end"/>
      </w:r>
      <w:r>
        <w:fldChar w:fldCharType="end"/>
      </w:r>
    </w:p>
    <w:p>
      <w:pPr>
        <w:pStyle w:val="24"/>
        <w:tabs>
          <w:tab w:val="right" w:leader="dot" w:pos="9354"/>
          <w:tab w:val="clear" w:pos="9344"/>
        </w:tabs>
      </w:pPr>
      <w:r>
        <w:fldChar w:fldCharType="begin"/>
      </w:r>
      <w:r>
        <w:instrText xml:space="preserve"> HYPERLINK \l _Toc808170438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4.2 </w:t>
      </w:r>
      <w:r>
        <w:rPr>
          <w:rFonts w:hint="eastAsia"/>
        </w:rPr>
        <w:t>适用性</w:t>
      </w:r>
      <w:r>
        <w:tab/>
      </w:r>
      <w:r>
        <w:fldChar w:fldCharType="begin"/>
      </w:r>
      <w:r>
        <w:instrText xml:space="preserve"> PAGEREF _Toc808170438 \h </w:instrText>
      </w:r>
      <w:r>
        <w:fldChar w:fldCharType="separate"/>
      </w:r>
      <w:r>
        <w:t>4</w:t>
      </w:r>
      <w:r>
        <w:fldChar w:fldCharType="end"/>
      </w:r>
      <w:r>
        <w:fldChar w:fldCharType="end"/>
      </w:r>
    </w:p>
    <w:p>
      <w:pPr>
        <w:pStyle w:val="24"/>
        <w:tabs>
          <w:tab w:val="right" w:leader="dot" w:pos="9354"/>
          <w:tab w:val="clear" w:pos="9344"/>
        </w:tabs>
      </w:pPr>
      <w:r>
        <w:fldChar w:fldCharType="begin"/>
      </w:r>
      <w:r>
        <w:instrText xml:space="preserve"> HYPERLINK \l _Toc1721280251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4.3 </w:t>
      </w:r>
      <w:r>
        <w:rPr>
          <w:rFonts w:hint="eastAsia"/>
        </w:rPr>
        <w:t>安全性</w:t>
      </w:r>
      <w:r>
        <w:tab/>
      </w:r>
      <w:r>
        <w:fldChar w:fldCharType="begin"/>
      </w:r>
      <w:r>
        <w:instrText xml:space="preserve"> PAGEREF _Toc1721280251 \h </w:instrText>
      </w:r>
      <w:r>
        <w:fldChar w:fldCharType="separate"/>
      </w:r>
      <w:r>
        <w:t>4</w:t>
      </w:r>
      <w:r>
        <w:fldChar w:fldCharType="end"/>
      </w:r>
      <w:r>
        <w:fldChar w:fldCharType="end"/>
      </w:r>
    </w:p>
    <w:p>
      <w:pPr>
        <w:pStyle w:val="19"/>
        <w:tabs>
          <w:tab w:val="right" w:leader="dot" w:pos="9354"/>
        </w:tabs>
      </w:pPr>
      <w:r>
        <w:fldChar w:fldCharType="begin"/>
      </w:r>
      <w:r>
        <w:instrText xml:space="preserve"> HYPERLINK \l _Toc990470727 </w:instrText>
      </w:r>
      <w:r>
        <w:fldChar w:fldCharType="separate"/>
      </w:r>
      <w:r>
        <w:rPr>
          <w:rFonts w:hint="eastAsia" w:ascii="黑体" w:eastAsia="黑体"/>
          <w:i w:val="0"/>
        </w:rPr>
        <w:t xml:space="preserve">5 </w:t>
      </w:r>
      <w:r>
        <w:rPr>
          <w:rFonts w:hint="eastAsia"/>
        </w:rPr>
        <w:t>评价对象</w:t>
      </w:r>
      <w:r>
        <w:tab/>
      </w:r>
      <w:r>
        <w:fldChar w:fldCharType="begin"/>
      </w:r>
      <w:r>
        <w:instrText xml:space="preserve"> PAGEREF _Toc990470727 \h </w:instrText>
      </w:r>
      <w:r>
        <w:fldChar w:fldCharType="separate"/>
      </w:r>
      <w:r>
        <w:t>4</w:t>
      </w:r>
      <w:r>
        <w:fldChar w:fldCharType="end"/>
      </w:r>
      <w:r>
        <w:fldChar w:fldCharType="end"/>
      </w:r>
    </w:p>
    <w:p>
      <w:pPr>
        <w:pStyle w:val="19"/>
        <w:tabs>
          <w:tab w:val="right" w:leader="dot" w:pos="9354"/>
        </w:tabs>
      </w:pPr>
      <w:r>
        <w:fldChar w:fldCharType="begin"/>
      </w:r>
      <w:r>
        <w:instrText xml:space="preserve"> HYPERLINK \l _Toc1797167121 </w:instrText>
      </w:r>
      <w:r>
        <w:fldChar w:fldCharType="separate"/>
      </w:r>
      <w:r>
        <w:rPr>
          <w:rFonts w:hint="eastAsia" w:ascii="黑体" w:eastAsia="黑体"/>
          <w:i w:val="0"/>
        </w:rPr>
        <w:t xml:space="preserve">6 </w:t>
      </w:r>
      <w:r>
        <w:rPr>
          <w:rFonts w:hint="eastAsia"/>
        </w:rPr>
        <w:t>评价组织</w:t>
      </w:r>
      <w:r>
        <w:tab/>
      </w:r>
      <w:r>
        <w:fldChar w:fldCharType="begin"/>
      </w:r>
      <w:r>
        <w:instrText xml:space="preserve"> PAGEREF _Toc1797167121 \h </w:instrText>
      </w:r>
      <w:r>
        <w:fldChar w:fldCharType="separate"/>
      </w:r>
      <w:r>
        <w:t>4</w:t>
      </w:r>
      <w:r>
        <w:fldChar w:fldCharType="end"/>
      </w:r>
      <w:r>
        <w:fldChar w:fldCharType="end"/>
      </w:r>
    </w:p>
    <w:p>
      <w:pPr>
        <w:pStyle w:val="19"/>
        <w:tabs>
          <w:tab w:val="right" w:leader="dot" w:pos="9354"/>
        </w:tabs>
      </w:pPr>
      <w:r>
        <w:fldChar w:fldCharType="begin"/>
      </w:r>
      <w:r>
        <w:instrText xml:space="preserve"> HYPERLINK \l _Toc928341717 </w:instrText>
      </w:r>
      <w:r>
        <w:fldChar w:fldCharType="separate"/>
      </w:r>
      <w:r>
        <w:rPr>
          <w:rFonts w:hint="eastAsia" w:ascii="黑体" w:eastAsia="黑体"/>
          <w:i w:val="0"/>
        </w:rPr>
        <w:t xml:space="preserve">7 </w:t>
      </w:r>
      <w:r>
        <w:rPr>
          <w:rFonts w:hint="eastAsia"/>
        </w:rPr>
        <w:t>评价程序</w:t>
      </w:r>
      <w:r>
        <w:tab/>
      </w:r>
      <w:r>
        <w:fldChar w:fldCharType="begin"/>
      </w:r>
      <w:r>
        <w:instrText xml:space="preserve"> PAGEREF _Toc928341717 \h </w:instrText>
      </w:r>
      <w:r>
        <w:fldChar w:fldCharType="separate"/>
      </w:r>
      <w:r>
        <w:t>4</w:t>
      </w:r>
      <w:r>
        <w:fldChar w:fldCharType="end"/>
      </w:r>
      <w:r>
        <w:fldChar w:fldCharType="end"/>
      </w:r>
    </w:p>
    <w:p>
      <w:pPr>
        <w:pStyle w:val="24"/>
        <w:tabs>
          <w:tab w:val="right" w:leader="dot" w:pos="9354"/>
          <w:tab w:val="clear" w:pos="9344"/>
        </w:tabs>
      </w:pPr>
      <w:r>
        <w:fldChar w:fldCharType="begin"/>
      </w:r>
      <w:r>
        <w:instrText xml:space="preserve"> HYPERLINK \l _Toc1425360810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7.1 </w:t>
      </w:r>
      <w:r>
        <w:rPr>
          <w:rFonts w:hint="eastAsia"/>
        </w:rPr>
        <w:t>评价周期</w:t>
      </w:r>
      <w:r>
        <w:tab/>
      </w:r>
      <w:r>
        <w:fldChar w:fldCharType="begin"/>
      </w:r>
      <w:r>
        <w:instrText xml:space="preserve"> PAGEREF _Toc1425360810 \h </w:instrText>
      </w:r>
      <w:r>
        <w:fldChar w:fldCharType="separate"/>
      </w:r>
      <w:r>
        <w:t>4</w:t>
      </w:r>
      <w:r>
        <w:fldChar w:fldCharType="end"/>
      </w:r>
      <w:r>
        <w:fldChar w:fldCharType="end"/>
      </w:r>
    </w:p>
    <w:p>
      <w:pPr>
        <w:pStyle w:val="24"/>
        <w:tabs>
          <w:tab w:val="right" w:leader="dot" w:pos="9354"/>
          <w:tab w:val="clear" w:pos="9344"/>
        </w:tabs>
      </w:pPr>
      <w:r>
        <w:fldChar w:fldCharType="begin"/>
      </w:r>
      <w:r>
        <w:instrText xml:space="preserve"> HYPERLINK \l _Toc870464456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7.2 </w:t>
      </w:r>
      <w:r>
        <w:rPr>
          <w:rFonts w:hint="eastAsia"/>
        </w:rPr>
        <w:t>评价方法</w:t>
      </w:r>
      <w:r>
        <w:tab/>
      </w:r>
      <w:r>
        <w:fldChar w:fldCharType="begin"/>
      </w:r>
      <w:r>
        <w:instrText xml:space="preserve"> PAGEREF _Toc870464456 \h </w:instrText>
      </w:r>
      <w:r>
        <w:fldChar w:fldCharType="separate"/>
      </w:r>
      <w:r>
        <w:t>4</w:t>
      </w:r>
      <w:r>
        <w:fldChar w:fldCharType="end"/>
      </w:r>
      <w:r>
        <w:fldChar w:fldCharType="end"/>
      </w:r>
    </w:p>
    <w:p>
      <w:pPr>
        <w:pStyle w:val="24"/>
        <w:tabs>
          <w:tab w:val="right" w:leader="dot" w:pos="9354"/>
          <w:tab w:val="clear" w:pos="9344"/>
        </w:tabs>
      </w:pPr>
      <w:r>
        <w:fldChar w:fldCharType="begin"/>
      </w:r>
      <w:r>
        <w:instrText xml:space="preserve"> HYPERLINK \l _Toc2121605363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7.3 </w:t>
      </w:r>
      <w:r>
        <w:rPr>
          <w:rFonts w:hint="eastAsia"/>
        </w:rPr>
        <w:t>结果应用</w:t>
      </w:r>
      <w:r>
        <w:tab/>
      </w:r>
      <w:r>
        <w:fldChar w:fldCharType="begin"/>
      </w:r>
      <w:r>
        <w:instrText xml:space="preserve"> PAGEREF _Toc2121605363 \h </w:instrText>
      </w:r>
      <w:r>
        <w:fldChar w:fldCharType="separate"/>
      </w:r>
      <w:r>
        <w:t>5</w:t>
      </w:r>
      <w:r>
        <w:fldChar w:fldCharType="end"/>
      </w:r>
      <w:r>
        <w:fldChar w:fldCharType="end"/>
      </w:r>
    </w:p>
    <w:p>
      <w:pPr>
        <w:pStyle w:val="24"/>
        <w:tabs>
          <w:tab w:val="right" w:leader="dot" w:pos="9354"/>
          <w:tab w:val="clear" w:pos="9344"/>
        </w:tabs>
      </w:pPr>
      <w:r>
        <w:fldChar w:fldCharType="begin"/>
      </w:r>
      <w:r>
        <w:instrText xml:space="preserve"> HYPERLINK \l _Toc1490588230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7.4 </w:t>
      </w:r>
      <w:r>
        <w:rPr>
          <w:rFonts w:hint="eastAsia"/>
        </w:rPr>
        <w:t>异议</w:t>
      </w:r>
      <w:r>
        <w:tab/>
      </w:r>
      <w:r>
        <w:fldChar w:fldCharType="begin"/>
      </w:r>
      <w:r>
        <w:instrText xml:space="preserve"> PAGEREF _Toc1490588230 \h </w:instrText>
      </w:r>
      <w:r>
        <w:fldChar w:fldCharType="separate"/>
      </w:r>
      <w:r>
        <w:t>5</w:t>
      </w:r>
      <w:r>
        <w:fldChar w:fldCharType="end"/>
      </w:r>
      <w:r>
        <w:fldChar w:fldCharType="end"/>
      </w:r>
    </w:p>
    <w:p>
      <w:pPr>
        <w:pStyle w:val="19"/>
        <w:tabs>
          <w:tab w:val="right" w:leader="dot" w:pos="9354"/>
        </w:tabs>
      </w:pPr>
      <w:r>
        <w:fldChar w:fldCharType="begin"/>
      </w:r>
      <w:r>
        <w:instrText xml:space="preserve"> HYPERLINK \l _Toc6232237 </w:instrText>
      </w:r>
      <w:r>
        <w:fldChar w:fldCharType="separate"/>
      </w:r>
      <w:r>
        <w:rPr>
          <w:rFonts w:hint="eastAsia" w:ascii="黑体" w:eastAsia="黑体"/>
          <w:i w:val="0"/>
        </w:rPr>
        <w:t xml:space="preserve">8 </w:t>
      </w:r>
      <w:r>
        <w:rPr>
          <w:rFonts w:hint="eastAsia"/>
        </w:rPr>
        <w:t>标志使用</w:t>
      </w:r>
      <w:r>
        <w:tab/>
      </w:r>
      <w:r>
        <w:fldChar w:fldCharType="begin"/>
      </w:r>
      <w:r>
        <w:instrText xml:space="preserve"> PAGEREF _Toc6232237 \h </w:instrText>
      </w:r>
      <w:r>
        <w:fldChar w:fldCharType="separate"/>
      </w:r>
      <w:r>
        <w:t>5</w:t>
      </w:r>
      <w:r>
        <w:fldChar w:fldCharType="end"/>
      </w:r>
      <w:r>
        <w:fldChar w:fldCharType="end"/>
      </w:r>
    </w:p>
    <w:p>
      <w:pPr>
        <w:pStyle w:val="24"/>
        <w:tabs>
          <w:tab w:val="right" w:leader="dot" w:pos="9354"/>
          <w:tab w:val="clear" w:pos="9344"/>
        </w:tabs>
      </w:pPr>
      <w:r>
        <w:fldChar w:fldCharType="begin"/>
      </w:r>
      <w:r>
        <w:instrText xml:space="preserve"> HYPERLINK \l _Toc1718234051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8.1 </w:t>
      </w:r>
      <w:r>
        <w:rPr>
          <w:rFonts w:hint="eastAsia"/>
          <w:lang w:eastAsia="zh-CN"/>
        </w:rPr>
        <w:t>使用途径</w:t>
      </w:r>
      <w:r>
        <w:tab/>
      </w:r>
      <w:r>
        <w:fldChar w:fldCharType="begin"/>
      </w:r>
      <w:r>
        <w:instrText xml:space="preserve"> PAGEREF _Toc1718234051 \h </w:instrText>
      </w:r>
      <w:r>
        <w:fldChar w:fldCharType="separate"/>
      </w:r>
      <w:r>
        <w:t>5</w:t>
      </w:r>
      <w:r>
        <w:fldChar w:fldCharType="end"/>
      </w:r>
      <w:r>
        <w:fldChar w:fldCharType="end"/>
      </w:r>
    </w:p>
    <w:p>
      <w:pPr>
        <w:pStyle w:val="24"/>
        <w:tabs>
          <w:tab w:val="right" w:leader="dot" w:pos="9354"/>
          <w:tab w:val="clear" w:pos="9344"/>
        </w:tabs>
      </w:pPr>
      <w:r>
        <w:fldChar w:fldCharType="begin"/>
      </w:r>
      <w:r>
        <w:instrText xml:space="preserve"> HYPERLINK \l _Toc746014719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8.2 </w:t>
      </w:r>
      <w:r>
        <w:rPr>
          <w:rFonts w:hint="eastAsia"/>
          <w:lang w:eastAsia="zh-CN"/>
        </w:rPr>
        <w:t>取消评级</w:t>
      </w:r>
      <w:r>
        <w:tab/>
      </w:r>
      <w:r>
        <w:fldChar w:fldCharType="begin"/>
      </w:r>
      <w:r>
        <w:instrText xml:space="preserve"> PAGEREF _Toc746014719 \h </w:instrText>
      </w:r>
      <w:r>
        <w:fldChar w:fldCharType="separate"/>
      </w:r>
      <w:r>
        <w:t>5</w:t>
      </w:r>
      <w:r>
        <w:fldChar w:fldCharType="end"/>
      </w:r>
      <w:r>
        <w:fldChar w:fldCharType="end"/>
      </w:r>
    </w:p>
    <w:p>
      <w:pPr>
        <w:pStyle w:val="19"/>
        <w:tabs>
          <w:tab w:val="right" w:leader="dot" w:pos="9354"/>
        </w:tabs>
      </w:pPr>
      <w:r>
        <w:fldChar w:fldCharType="begin"/>
      </w:r>
      <w:r>
        <w:instrText xml:space="preserve"> HYPERLINK \l _Toc1848274362 </w:instrText>
      </w:r>
      <w:r>
        <w:fldChar w:fldCharType="separate"/>
      </w:r>
      <w:r>
        <w:rPr>
          <w:rFonts w:hint="eastAsia"/>
          <w:spacing w:val="100"/>
        </w:rPr>
        <w:t xml:space="preserve">附录A </w:t>
      </w:r>
      <w:r>
        <w:t xml:space="preserve"> </w:t>
      </w:r>
      <w:r>
        <w:rPr>
          <w:rFonts w:hint="eastAsia"/>
        </w:rPr>
        <w:t>（规范性）</w:t>
      </w:r>
      <w:r>
        <w:t xml:space="preserve"> </w:t>
      </w:r>
      <w:r>
        <w:rPr>
          <w:rFonts w:hint="eastAsia"/>
        </w:rPr>
        <w:t>专利代理师能力无感评价分值计算方法表</w:t>
      </w:r>
      <w:r>
        <w:tab/>
      </w:r>
      <w:r>
        <w:fldChar w:fldCharType="begin"/>
      </w:r>
      <w:r>
        <w:instrText xml:space="preserve"> PAGEREF _Toc1848274362 \h </w:instrText>
      </w:r>
      <w:r>
        <w:fldChar w:fldCharType="separate"/>
      </w:r>
      <w:r>
        <w:t>7</w:t>
      </w:r>
      <w:r>
        <w:fldChar w:fldCharType="end"/>
      </w:r>
      <w:r>
        <w:fldChar w:fldCharType="end"/>
      </w:r>
    </w:p>
    <w:p>
      <w:pPr>
        <w:pStyle w:val="19"/>
        <w:tabs>
          <w:tab w:val="right" w:leader="dot" w:pos="9354"/>
        </w:tabs>
      </w:pPr>
      <w:r>
        <w:fldChar w:fldCharType="begin"/>
      </w:r>
      <w:r>
        <w:instrText xml:space="preserve"> HYPERLINK \l _Toc1041573168 </w:instrText>
      </w:r>
      <w:r>
        <w:fldChar w:fldCharType="separate"/>
      </w:r>
      <w:r>
        <w:rPr>
          <w:rFonts w:hint="eastAsia"/>
          <w:spacing w:val="100"/>
          <w:lang w:val="en-US" w:eastAsia="zh-CN"/>
        </w:rPr>
        <w:t>附录</w:t>
      </w:r>
      <w:r>
        <w:rPr>
          <w:rFonts w:hint="eastAsia" w:eastAsia="黑体"/>
          <w:spacing w:val="100"/>
          <w:lang w:val="en-US" w:eastAsia="zh-CN"/>
        </w:rPr>
        <w:t xml:space="preserve">B </w:t>
      </w:r>
      <w:r>
        <w:t xml:space="preserve"> </w:t>
      </w:r>
      <w:r>
        <w:rPr>
          <w:rFonts w:hint="eastAsia"/>
        </w:rPr>
        <w:t>（规范性）</w:t>
      </w:r>
      <w:r>
        <w:t xml:space="preserve"> </w:t>
      </w:r>
      <w:r>
        <w:rPr>
          <w:rFonts w:hint="eastAsia"/>
        </w:rPr>
        <w:t>专利代理</w:t>
      </w:r>
      <w:r>
        <w:rPr>
          <w:rFonts w:hint="eastAsia"/>
          <w:lang w:eastAsia="zh-CN"/>
        </w:rPr>
        <w:t>师</w:t>
      </w:r>
      <w:r>
        <w:rPr>
          <w:rFonts w:hint="eastAsia"/>
        </w:rPr>
        <w:t>能力无感评价</w:t>
      </w:r>
      <w:r>
        <w:rPr>
          <w:rFonts w:hint="eastAsia"/>
          <w:lang w:val="en-US" w:eastAsia="zh-CN"/>
        </w:rPr>
        <w:t>内容及具体分值</w:t>
      </w:r>
      <w:r>
        <w:tab/>
      </w:r>
      <w:r>
        <w:fldChar w:fldCharType="begin"/>
      </w:r>
      <w:r>
        <w:instrText xml:space="preserve"> PAGEREF _Toc1041573168 \h </w:instrText>
      </w:r>
      <w:r>
        <w:fldChar w:fldCharType="separate"/>
      </w:r>
      <w:r>
        <w:t>9</w:t>
      </w:r>
      <w:r>
        <w:fldChar w:fldCharType="end"/>
      </w:r>
      <w:r>
        <w:fldChar w:fldCharType="end"/>
      </w:r>
    </w:p>
    <w:p>
      <w:pPr>
        <w:pStyle w:val="19"/>
        <w:tabs>
          <w:tab w:val="right" w:leader="dot" w:pos="9354"/>
        </w:tabs>
      </w:pPr>
      <w:r>
        <w:fldChar w:fldCharType="begin"/>
      </w:r>
      <w:r>
        <w:instrText xml:space="preserve"> HYPERLINK \l _Toc1322663744 </w:instrText>
      </w:r>
      <w:r>
        <w:fldChar w:fldCharType="separate"/>
      </w:r>
      <w:r>
        <w:rPr>
          <w:rFonts w:hint="eastAsia"/>
          <w:spacing w:val="100"/>
        </w:rPr>
        <w:t xml:space="preserve">附录C </w:t>
      </w:r>
      <w:r>
        <w:t xml:space="preserve"> </w:t>
      </w:r>
      <w:r>
        <w:rPr>
          <w:rFonts w:hint="eastAsia"/>
        </w:rPr>
        <w:t>（规范性）</w:t>
      </w:r>
      <w:r>
        <w:t xml:space="preserve"> 专利代理师能力无感评价等级积分表</w:t>
      </w:r>
      <w:r>
        <w:tab/>
      </w:r>
      <w:r>
        <w:fldChar w:fldCharType="begin"/>
      </w:r>
      <w:r>
        <w:instrText xml:space="preserve"> PAGEREF _Toc1322663744 \h </w:instrText>
      </w:r>
      <w:r>
        <w:fldChar w:fldCharType="separate"/>
      </w:r>
      <w:r>
        <w:t>11</w:t>
      </w:r>
      <w:r>
        <w:fldChar w:fldCharType="end"/>
      </w:r>
      <w:r>
        <w:fldChar w:fldCharType="end"/>
      </w:r>
    </w:p>
    <w:p>
      <w:pPr>
        <w:pStyle w:val="89"/>
        <w:spacing w:before="900" w:after="360"/>
      </w:pPr>
      <w:r>
        <w:fldChar w:fldCharType="end"/>
      </w:r>
    </w:p>
    <w:p>
      <w:pPr>
        <w:pStyle w:val="89"/>
        <w:spacing w:before="900" w:after="360"/>
      </w:pPr>
    </w:p>
    <w:p>
      <w:pPr>
        <w:pStyle w:val="89"/>
        <w:spacing w:before="900" w:after="360"/>
      </w:pPr>
    </w:p>
    <w:p>
      <w:pPr>
        <w:pStyle w:val="89"/>
        <w:spacing w:before="900" w:after="360"/>
      </w:pPr>
      <w:bookmarkStart w:id="22" w:name="_Toc1158146762"/>
      <w:r>
        <w:rPr>
          <w:rFonts w:hint="eastAsia"/>
          <w:spacing w:val="320"/>
        </w:rPr>
        <w:t>前</w:t>
      </w:r>
      <w:r>
        <w:rPr>
          <w:rFonts w:hint="eastAsia"/>
        </w:rPr>
        <w:t>言</w:t>
      </w:r>
      <w:bookmarkEnd w:id="22"/>
    </w:p>
    <w:p>
      <w:pPr>
        <w:pStyle w:val="56"/>
        <w:ind w:firstLine="420"/>
        <w:rPr>
          <w:rFonts w:hint="eastAsia"/>
        </w:rPr>
      </w:pPr>
      <w:r>
        <w:rPr>
          <w:rFonts w:hint="eastAsia"/>
        </w:rPr>
        <w:t>本文件按照GB/T 1.1—2020《标准化工作导则  第1部分：标准化文件的结构和起草规则》的规定起草。</w:t>
      </w:r>
    </w:p>
    <w:p>
      <w:pPr>
        <w:pStyle w:val="56"/>
        <w:ind w:firstLine="420"/>
      </w:pPr>
      <w:r>
        <w:rPr>
          <w:rFonts w:hint="eastAsia"/>
        </w:rPr>
        <w:t>本文件由</w:t>
      </w:r>
      <w:r>
        <w:t>浙江省专利代理人协会</w:t>
      </w:r>
      <w:r>
        <w:rPr>
          <w:rFonts w:hint="eastAsia"/>
        </w:rPr>
        <w:t>提出</w:t>
      </w:r>
      <w:r>
        <w:rPr>
          <w:rFonts w:hint="eastAsia"/>
          <w:lang w:eastAsia="zh-CN"/>
        </w:rPr>
        <w:t>并归口</w:t>
      </w:r>
      <w:r>
        <w:rPr>
          <w:rFonts w:hint="eastAsia"/>
        </w:rPr>
        <w:t>。</w:t>
      </w:r>
    </w:p>
    <w:p>
      <w:pPr>
        <w:pStyle w:val="56"/>
        <w:ind w:firstLine="420"/>
      </w:pPr>
      <w:r>
        <w:rPr>
          <w:rFonts w:hint="eastAsia"/>
        </w:rPr>
        <w:t>本文件起草单位：</w:t>
      </w:r>
      <w:r>
        <w:rPr>
          <w:highlight w:val="none"/>
        </w:rPr>
        <w:t>浙江省知识产权保护中心、浙江省专利代理人协会</w:t>
      </w:r>
      <w:r>
        <w:rPr>
          <w:rFonts w:hint="eastAsia"/>
          <w:highlight w:val="none"/>
          <w:lang w:eastAsia="zh-CN"/>
        </w:rPr>
        <w:t>、</w:t>
      </w:r>
      <w:r>
        <w:rPr>
          <w:rFonts w:hint="eastAsia"/>
          <w:highlight w:val="none"/>
          <w:lang w:val="en-US" w:eastAsia="zh-CN"/>
        </w:rPr>
        <w:t>杭州市知识产权保护中心、宁波市知识产权保护中心、</w:t>
      </w:r>
      <w:r>
        <w:rPr>
          <w:rFonts w:hint="eastAsia" w:ascii="宋体" w:hAnsi="Times New Roman" w:eastAsia="宋体" w:cs="Times New Roman"/>
          <w:highlight w:val="none"/>
          <w:lang w:val="en-US" w:eastAsia="zh-CN"/>
        </w:rPr>
        <w:t>杭州华进联浙知识产权代理有限公司、浙江中桓凯通专利代理有限公司、浙江大学</w:t>
      </w:r>
      <w:r>
        <w:rPr>
          <w:rFonts w:hint="eastAsia" w:cs="Times New Roman"/>
          <w:highlight w:val="none"/>
          <w:lang w:val="en-US" w:eastAsia="zh-CN"/>
        </w:rPr>
        <w:t>、国网浙江省电力有限公司</w:t>
      </w:r>
      <w:r>
        <w:t>。</w:t>
      </w:r>
    </w:p>
    <w:p>
      <w:pPr>
        <w:pStyle w:val="56"/>
        <w:ind w:firstLine="420"/>
        <w:rPr>
          <w:rFonts w:hint="default" w:eastAsia="宋体"/>
          <w:lang w:val="en-US" w:eastAsia="zh-CN"/>
        </w:rPr>
      </w:pPr>
      <w:r>
        <w:rPr>
          <w:rFonts w:hint="eastAsia"/>
        </w:rPr>
        <w:t>本文件主要起草人：</w:t>
      </w:r>
      <w:r>
        <w:rPr>
          <w:rFonts w:hint="eastAsia"/>
          <w:highlight w:val="none"/>
          <w:lang w:val="en-US" w:eastAsia="zh-CN"/>
        </w:rPr>
        <w:t>韩志斌、林敏、何斯征、张海潮、蒙惠文、雍海燕、周翌、钱龙、何贝、杜强、亢雅瑞、许多、曾陈吉丹、贺才杰、牛伟杰、张建新</w:t>
      </w:r>
      <w:r>
        <w:rPr>
          <w:rFonts w:hint="eastAsia"/>
          <w:lang w:val="en-US" w:eastAsia="zh-CN"/>
        </w:rPr>
        <w:t>。</w:t>
      </w:r>
    </w:p>
    <w:p>
      <w:pPr>
        <w:pStyle w:val="56"/>
        <w:ind w:firstLine="420"/>
      </w:pPr>
    </w:p>
    <w:p>
      <w:pPr>
        <w:pStyle w:val="56"/>
        <w:ind w:firstLine="420"/>
        <w:sectPr>
          <w:headerReference r:id="rId11" w:type="default"/>
          <w:footerReference r:id="rId13" w:type="default"/>
          <w:headerReference r:id="rId12" w:type="even"/>
          <w:pgSz w:w="11906" w:h="16838"/>
          <w:pgMar w:top="1928" w:right="1134" w:bottom="1134" w:left="1134" w:header="1418" w:footer="1134" w:gutter="284"/>
          <w:pgBorders>
            <w:top w:val="none" w:sz="0" w:space="0"/>
            <w:left w:val="none" w:sz="0" w:space="0"/>
            <w:bottom w:val="none" w:sz="0" w:space="0"/>
            <w:right w:val="none" w:sz="0" w:space="0"/>
          </w:pgBorders>
          <w:pgNumType w:fmt="upperRoman" w:start="1"/>
          <w:cols w:space="425" w:num="1"/>
          <w:formProt w:val="0"/>
          <w:docGrid w:linePitch="312" w:charSpace="0"/>
        </w:sectPr>
      </w:pPr>
      <w:bookmarkStart w:id="70" w:name="_GoBack"/>
      <w:bookmarkEnd w:id="70"/>
    </w:p>
    <w:bookmarkEnd w:id="21"/>
    <w:p>
      <w:pPr>
        <w:spacing w:line="20" w:lineRule="exact"/>
        <w:jc w:val="center"/>
        <w:rPr>
          <w:rFonts w:hint="eastAsia" w:ascii="黑体" w:hAnsi="黑体" w:eastAsia="黑体"/>
          <w:sz w:val="32"/>
          <w:szCs w:val="32"/>
        </w:rPr>
      </w:pPr>
      <w:bookmarkStart w:id="23" w:name="BookMark4"/>
    </w:p>
    <w:p>
      <w:pPr>
        <w:spacing w:line="20" w:lineRule="exact"/>
        <w:jc w:val="center"/>
        <w:rPr>
          <w:rFonts w:hint="eastAsia" w:ascii="黑体" w:hAnsi="黑体" w:eastAsia="黑体"/>
          <w:sz w:val="32"/>
          <w:szCs w:val="32"/>
        </w:rPr>
      </w:pPr>
    </w:p>
    <w:sdt>
      <w:sdtPr>
        <w:tag w:val="NEW_STAND_NAME"/>
        <w:id w:val="595910757"/>
        <w:lock w:val="sdtLocked"/>
        <w:placeholder>
          <w:docPart w:val="E0BBFE10E597406E89616C945C6C3C89"/>
        </w:placeholder>
      </w:sdtPr>
      <w:sdtContent>
        <w:p>
          <w:pPr>
            <w:pStyle w:val="177"/>
            <w:spacing w:before="240" w:beforeLines="100" w:after="528" w:afterLines="220"/>
            <w:rPr>
              <w:rFonts w:hint="eastAsia"/>
            </w:rPr>
          </w:pPr>
          <w:bookmarkStart w:id="24" w:name="NEW_STAND_NAME"/>
          <w:r>
            <w:rPr>
              <w:rFonts w:hint="eastAsia"/>
            </w:rPr>
            <w:t>专利代理师能力无感评价规范</w:t>
          </w:r>
        </w:p>
      </w:sdtContent>
    </w:sdt>
    <w:bookmarkEnd w:id="24"/>
    <w:p>
      <w:pPr>
        <w:pStyle w:val="104"/>
        <w:spacing w:before="240" w:after="240"/>
      </w:pPr>
      <w:bookmarkStart w:id="25" w:name="_Toc1624181865"/>
      <w:bookmarkStart w:id="26" w:name="_Toc24884218"/>
      <w:bookmarkStart w:id="27" w:name="_Toc17233333"/>
      <w:bookmarkStart w:id="28" w:name="_Toc97192964"/>
      <w:bookmarkStart w:id="29" w:name="_Toc26718930"/>
      <w:bookmarkStart w:id="30" w:name="_Toc24884211"/>
      <w:bookmarkStart w:id="31" w:name="_Toc17233325"/>
      <w:bookmarkStart w:id="32" w:name="_Toc26986771"/>
      <w:bookmarkStart w:id="33" w:name="_Toc26648465"/>
      <w:bookmarkStart w:id="34" w:name="_Toc26986530"/>
      <w:r>
        <w:rPr>
          <w:rFonts w:hint="eastAsia"/>
        </w:rPr>
        <w:t>范围</w:t>
      </w:r>
      <w:bookmarkEnd w:id="25"/>
      <w:bookmarkEnd w:id="26"/>
      <w:bookmarkEnd w:id="27"/>
      <w:bookmarkEnd w:id="28"/>
      <w:bookmarkEnd w:id="29"/>
      <w:bookmarkEnd w:id="30"/>
      <w:bookmarkEnd w:id="31"/>
      <w:bookmarkEnd w:id="32"/>
      <w:bookmarkEnd w:id="33"/>
      <w:bookmarkEnd w:id="34"/>
    </w:p>
    <w:p>
      <w:pPr>
        <w:pStyle w:val="56"/>
        <w:ind w:firstLine="420"/>
      </w:pPr>
      <w:bookmarkStart w:id="35" w:name="_Toc24884219"/>
      <w:bookmarkStart w:id="36" w:name="_Toc17233326"/>
      <w:bookmarkStart w:id="37" w:name="_Toc26648466"/>
      <w:bookmarkStart w:id="38" w:name="_Toc17233334"/>
      <w:bookmarkStart w:id="39" w:name="_Toc24884212"/>
      <w:r>
        <w:rPr>
          <w:rFonts w:hint="eastAsia"/>
        </w:rPr>
        <w:t>本</w:t>
      </w:r>
      <w:r>
        <w:rPr>
          <w:rFonts w:hint="eastAsia"/>
          <w:lang w:val="en-US" w:eastAsia="zh-CN"/>
        </w:rPr>
        <w:t>文件</w:t>
      </w:r>
      <w:r>
        <w:rPr>
          <w:rFonts w:hint="eastAsia"/>
        </w:rPr>
        <w:t>规定了对专利代理师能力评价的基本要求、评价原则、评定对象、评价组织、评价程序和标志使用。</w:t>
      </w:r>
    </w:p>
    <w:p>
      <w:pPr>
        <w:pStyle w:val="56"/>
        <w:ind w:firstLine="420"/>
      </w:pPr>
      <w:r>
        <w:rPr>
          <w:rFonts w:hint="eastAsia"/>
        </w:rPr>
        <w:t>本</w:t>
      </w:r>
      <w:r>
        <w:rPr>
          <w:rFonts w:hint="eastAsia"/>
          <w:lang w:val="en-US" w:eastAsia="zh-CN"/>
        </w:rPr>
        <w:t>文件</w:t>
      </w:r>
      <w:r>
        <w:rPr>
          <w:rFonts w:hint="eastAsia"/>
        </w:rPr>
        <w:t>适用于专利代理机构中，执业专利代理师的能力无感评价工作。</w:t>
      </w:r>
    </w:p>
    <w:p>
      <w:pPr>
        <w:pStyle w:val="179"/>
      </w:pPr>
      <w:r>
        <w:t>本</w:t>
      </w:r>
      <w:r>
        <w:rPr>
          <w:rFonts w:hint="eastAsia"/>
          <w:lang w:val="en-US" w:eastAsia="zh-CN"/>
        </w:rPr>
        <w:t>文件</w:t>
      </w:r>
      <w:r>
        <w:t>中专利代理机构指在浙江省内设立并于浙江省知识产权主管部门备案的专利代理机构，不在浙江省内设立的专利代理机构可参照执行。</w:t>
      </w:r>
    </w:p>
    <w:p>
      <w:pPr>
        <w:pStyle w:val="104"/>
        <w:spacing w:before="240" w:after="240"/>
      </w:pPr>
      <w:bookmarkStart w:id="40" w:name="_Toc26986531"/>
      <w:bookmarkStart w:id="41" w:name="_Toc97192965"/>
      <w:bookmarkStart w:id="42" w:name="_Toc26986772"/>
      <w:bookmarkStart w:id="43" w:name="_Toc26718931"/>
      <w:bookmarkStart w:id="44" w:name="_Toc924675161"/>
      <w:r>
        <w:rPr>
          <w:rFonts w:hint="eastAsia"/>
        </w:rPr>
        <w:t>规范性引用文件</w:t>
      </w:r>
      <w:bookmarkEnd w:id="35"/>
      <w:bookmarkEnd w:id="36"/>
      <w:bookmarkEnd w:id="37"/>
      <w:bookmarkEnd w:id="38"/>
      <w:bookmarkEnd w:id="39"/>
      <w:bookmarkEnd w:id="40"/>
      <w:bookmarkEnd w:id="41"/>
      <w:bookmarkEnd w:id="42"/>
      <w:bookmarkEnd w:id="43"/>
      <w:bookmarkEnd w:id="44"/>
    </w:p>
    <w:sdt>
      <w:sdtPr>
        <w:rPr>
          <w:rFonts w:hint="eastAsia"/>
        </w:rPr>
        <w:id w:val="715848253"/>
        <w:placeholder>
          <w:docPart w:val="A63273243D5F4E3491D19352B5E9B97C"/>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56"/>
        <w:ind w:firstLine="420"/>
      </w:pPr>
      <w:r>
        <w:t>GB/T 34833-2017  专利代理机构服务规范</w:t>
      </w:r>
    </w:p>
    <w:p>
      <w:pPr>
        <w:pStyle w:val="104"/>
        <w:spacing w:before="240" w:after="240"/>
      </w:pPr>
      <w:bookmarkStart w:id="45" w:name="_Toc831586042"/>
      <w:bookmarkStart w:id="46" w:name="_Toc97192966"/>
      <w:r>
        <w:rPr>
          <w:rFonts w:hint="eastAsia"/>
          <w:szCs w:val="21"/>
        </w:rPr>
        <w:t>术语和定义</w:t>
      </w:r>
      <w:bookmarkEnd w:id="45"/>
      <w:bookmarkEnd w:id="46"/>
    </w:p>
    <w:sdt>
      <w:sdtPr>
        <w:id w:val="-1"/>
        <w:placeholder>
          <w:docPart w:val="E7AA727F6D3E4FE7966DCD2CC6267AF1"/>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pPr>
            <w:pStyle w:val="56"/>
            <w:ind w:firstLine="420"/>
          </w:pPr>
          <w:bookmarkStart w:id="47" w:name="_Toc26986532"/>
          <w:bookmarkEnd w:id="47"/>
          <w:r>
            <w:t>下列术语和定义适用于本文件。</w:t>
          </w:r>
        </w:p>
      </w:sdtContent>
    </w:sdt>
    <w:p>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专利代理patent service</w:t>
      </w:r>
    </w:p>
    <w:p>
      <w:pPr>
        <w:pStyle w:val="56"/>
        <w:ind w:firstLine="420"/>
      </w:pPr>
      <w:r>
        <w:rPr>
          <w:rFonts w:hint="eastAsia"/>
        </w:rPr>
        <w:t>专利代理机构接受委托，办理专利申请、专利复审、宣告专利权无效、专利许可、专利转让以及其他专利事务的行为。</w:t>
      </w:r>
    </w:p>
    <w:p>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专利代理机构patent agency</w:t>
      </w:r>
    </w:p>
    <w:p>
      <w:pPr>
        <w:pStyle w:val="56"/>
        <w:ind w:firstLine="420"/>
      </w:pPr>
      <w:r>
        <w:rPr>
          <w:rFonts w:hint="eastAsia"/>
        </w:rPr>
        <w:t>依法设立，取得专利代理执业许可，办理专利代理业务的服务机构。</w:t>
      </w:r>
    </w:p>
    <w:p>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专利代理师 patent agent</w:t>
      </w:r>
    </w:p>
    <w:p>
      <w:pPr>
        <w:pStyle w:val="56"/>
        <w:ind w:firstLine="420"/>
      </w:pPr>
      <w:r>
        <w:rPr>
          <w:rFonts w:hint="eastAsia"/>
        </w:rPr>
        <w:t>依法取得资质，在专利代理机构从事专利代理业务的执业人员。</w:t>
      </w:r>
    </w:p>
    <w:p>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执业年限years of practice</w:t>
      </w:r>
    </w:p>
    <w:p>
      <w:pPr>
        <w:pStyle w:val="56"/>
        <w:ind w:firstLine="420"/>
        <w:rPr>
          <w:rFonts w:hint="eastAsia"/>
        </w:rPr>
      </w:pPr>
      <w:r>
        <w:rPr>
          <w:rFonts w:hint="eastAsia"/>
        </w:rPr>
        <w:t>专利代理师首次取得专利代理师（或专利代理人）执业证至今的从业年限。</w:t>
      </w:r>
    </w:p>
    <w:p>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lang w:eastAsia="zh-CN"/>
        </w:rPr>
        <w:t>无感评价</w:t>
      </w:r>
      <w:r>
        <w:rPr>
          <w:rFonts w:hint="eastAsia" w:ascii="黑体" w:hAnsi="黑体" w:eastAsia="黑体"/>
          <w:lang w:val="en-US" w:eastAsia="zh-CN"/>
        </w:rPr>
        <w:t>unconsciously</w:t>
      </w:r>
      <w:r>
        <w:rPr>
          <w:rFonts w:hint="eastAsia" w:ascii="黑体" w:hAnsi="黑体" w:eastAsia="黑体"/>
          <w:lang w:eastAsia="zh-CN"/>
        </w:rPr>
        <w:t xml:space="preserve"> evaluation</w:t>
      </w:r>
    </w:p>
    <w:p>
      <w:pPr>
        <w:pStyle w:val="56"/>
        <w:ind w:firstLine="420"/>
        <w:rPr>
          <w:rFonts w:hint="eastAsia"/>
          <w:highlight w:val="none"/>
        </w:rPr>
      </w:pPr>
      <w:r>
        <w:rPr>
          <w:rFonts w:hint="eastAsia"/>
          <w:highlight w:val="none"/>
          <w:lang w:eastAsia="zh-CN"/>
        </w:rPr>
        <w:t>通过信息化手段自动抓取、采集被评价对象在一定时间内服务创新主体的客观服务数据，以无感的方式开展评价工作。在整个评价过程中，被评价对象无需主动填报数据、无需提供额外证明材料、无需参与任何形式的考核测试，对评价活动的发生“无感知”</w:t>
      </w:r>
      <w:r>
        <w:rPr>
          <w:rFonts w:hint="eastAsia"/>
          <w:highlight w:val="none"/>
        </w:rPr>
        <w:t>。</w:t>
      </w:r>
    </w:p>
    <w:p>
      <w:pPr>
        <w:pStyle w:val="104"/>
        <w:spacing w:before="240" w:after="240"/>
      </w:pPr>
      <w:bookmarkStart w:id="48" w:name="_Toc1476281661"/>
      <w:r>
        <w:rPr>
          <w:rFonts w:hint="eastAsia"/>
        </w:rPr>
        <w:t>评价原则</w:t>
      </w:r>
      <w:bookmarkEnd w:id="48"/>
    </w:p>
    <w:p>
      <w:pPr>
        <w:pStyle w:val="105"/>
        <w:spacing w:before="120" w:after="120"/>
      </w:pPr>
      <w:bookmarkStart w:id="49" w:name="_Toc1574192848"/>
      <w:r>
        <w:rPr>
          <w:rFonts w:hint="eastAsia"/>
        </w:rPr>
        <w:t>客观性</w:t>
      </w:r>
      <w:bookmarkEnd w:id="49"/>
    </w:p>
    <w:p>
      <w:pPr>
        <w:pStyle w:val="56"/>
        <w:ind w:firstLine="420"/>
      </w:pPr>
      <w:r>
        <w:rPr>
          <w:rFonts w:hint="eastAsia"/>
        </w:rPr>
        <w:t>评价过程应以客观事实为依据，不受各方面的干扰和影响，确保评价结果合理公平。评价结果应客观反映一个评价周期内人员服务能力和信用水平。</w:t>
      </w:r>
    </w:p>
    <w:p>
      <w:pPr>
        <w:pStyle w:val="105"/>
        <w:spacing w:before="120" w:after="120"/>
      </w:pPr>
      <w:bookmarkStart w:id="50" w:name="_Toc808170438"/>
      <w:r>
        <w:rPr>
          <w:rFonts w:hint="eastAsia"/>
        </w:rPr>
        <w:t>适用性</w:t>
      </w:r>
      <w:bookmarkEnd w:id="50"/>
    </w:p>
    <w:p>
      <w:pPr>
        <w:pStyle w:val="56"/>
        <w:ind w:firstLine="420"/>
      </w:pPr>
      <w:r>
        <w:rPr>
          <w:rFonts w:hint="eastAsia"/>
        </w:rPr>
        <w:t>评价信息和数据易采集、可量化，确保评价结果与人员的服务能力和信用水平相适应。</w:t>
      </w:r>
    </w:p>
    <w:p>
      <w:pPr>
        <w:pStyle w:val="105"/>
        <w:spacing w:before="120" w:after="120"/>
      </w:pPr>
      <w:bookmarkStart w:id="51" w:name="_Toc1721280251"/>
      <w:r>
        <w:rPr>
          <w:rFonts w:hint="eastAsia"/>
        </w:rPr>
        <w:t>安全性</w:t>
      </w:r>
      <w:bookmarkEnd w:id="51"/>
    </w:p>
    <w:p>
      <w:pPr>
        <w:pStyle w:val="56"/>
        <w:ind w:firstLine="420"/>
      </w:pPr>
      <w:r>
        <w:rPr>
          <w:rFonts w:hint="eastAsia"/>
        </w:rPr>
        <w:t>评价工作应采用相应的防范措施，防止评价对象的隐私信息、信用信息丢失或泄露，确保信息安全和评价对象合法权益。</w:t>
      </w:r>
    </w:p>
    <w:p>
      <w:pPr>
        <w:pStyle w:val="104"/>
        <w:spacing w:before="240" w:after="240"/>
      </w:pPr>
      <w:bookmarkStart w:id="52" w:name="_Toc990470727"/>
      <w:r>
        <w:rPr>
          <w:rFonts w:hint="eastAsia"/>
        </w:rPr>
        <w:t>评价对象</w:t>
      </w:r>
      <w:bookmarkEnd w:id="52"/>
    </w:p>
    <w:p>
      <w:pPr>
        <w:pStyle w:val="56"/>
        <w:ind w:firstLine="420"/>
      </w:pPr>
      <w:r>
        <w:rPr>
          <w:rFonts w:hint="eastAsia"/>
        </w:rPr>
        <w:t>评价对象为依法取得专利代理师执业资格、在浙江省内设立并于浙江省知识产权主管部门备案的专利代理机构中从事专利代理服务的专业人员。</w:t>
      </w:r>
    </w:p>
    <w:p>
      <w:pPr>
        <w:pStyle w:val="56"/>
        <w:ind w:firstLine="420"/>
      </w:pPr>
      <w:r>
        <w:rPr>
          <w:rFonts w:hint="eastAsia"/>
        </w:rPr>
        <w:t>参评人员应同时满足以下基本条件：</w:t>
      </w:r>
    </w:p>
    <w:p>
      <w:pPr>
        <w:pStyle w:val="109"/>
      </w:pPr>
      <w:r>
        <w:rPr>
          <w:rFonts w:hint="eastAsia"/>
        </w:rPr>
        <w:t>持有有效的专利代理师执业证；</w:t>
      </w:r>
    </w:p>
    <w:p>
      <w:pPr>
        <w:pStyle w:val="109"/>
      </w:pPr>
      <w:r>
        <w:rPr>
          <w:rFonts w:hint="eastAsia"/>
        </w:rPr>
        <w:t>近三年内未受过各级专利行政主管部门的行政处罚，执业证未吊销、注销或处于暂停执业期间，无因违反职业道德或执业纪律而受到行业自律组织惩戒的记录；</w:t>
      </w:r>
    </w:p>
    <w:p>
      <w:pPr>
        <w:pStyle w:val="109"/>
      </w:pPr>
      <w:r>
        <w:rPr>
          <w:rFonts w:hint="eastAsia"/>
        </w:rPr>
        <w:t>在评价周期内，以代理师名义署名代理的发明专利申请应有结案记录，且结案数量</w:t>
      </w:r>
      <w:r>
        <w:rPr>
          <w:rFonts w:hint="eastAsia"/>
          <w:lang w:eastAsia="zh-CN"/>
        </w:rPr>
        <w:t>不</w:t>
      </w:r>
      <w:r>
        <w:rPr>
          <w:rFonts w:hint="eastAsia"/>
        </w:rPr>
        <w:t>少于1件。</w:t>
      </w:r>
    </w:p>
    <w:p>
      <w:pPr>
        <w:pStyle w:val="104"/>
        <w:spacing w:before="240" w:after="240"/>
      </w:pPr>
      <w:bookmarkStart w:id="53" w:name="_Toc1797167121"/>
      <w:r>
        <w:rPr>
          <w:rFonts w:hint="eastAsia"/>
        </w:rPr>
        <w:t>评价组织</w:t>
      </w:r>
      <w:bookmarkEnd w:id="53"/>
    </w:p>
    <w:p>
      <w:pPr>
        <w:pStyle w:val="162"/>
      </w:pPr>
      <w:r>
        <w:t>由具备相应资质条件的</w:t>
      </w:r>
      <w:r>
        <w:rPr>
          <w:rFonts w:hint="eastAsia"/>
        </w:rPr>
        <w:t>知识产权管理部门</w:t>
      </w:r>
      <w:r>
        <w:t>和行业组织联合组建专利代理</w:t>
      </w:r>
      <w:r>
        <w:rPr>
          <w:rFonts w:hint="eastAsia"/>
          <w:lang w:eastAsia="zh-CN"/>
        </w:rPr>
        <w:t>师</w:t>
      </w:r>
      <w:r>
        <w:t>能力评价工作组（下称“评价工作组”）。</w:t>
      </w:r>
    </w:p>
    <w:p>
      <w:pPr>
        <w:pStyle w:val="162"/>
      </w:pPr>
      <w:r>
        <w:t>评价工作组</w:t>
      </w:r>
      <w:r>
        <w:rPr>
          <w:rFonts w:hint="eastAsia"/>
          <w:lang w:val="en-US" w:eastAsia="zh-CN"/>
        </w:rPr>
        <w:t>为主承担</w:t>
      </w:r>
      <w:r>
        <w:t>工作组的人员组织、技术支持等工作</w:t>
      </w:r>
      <w:r>
        <w:rPr>
          <w:rFonts w:hint="eastAsia"/>
          <w:lang w:eastAsia="zh-CN"/>
        </w:rPr>
        <w:t>，</w:t>
      </w:r>
      <w:r>
        <w:rPr>
          <w:rFonts w:hint="eastAsia"/>
          <w:lang w:val="en-US" w:eastAsia="zh-CN"/>
        </w:rPr>
        <w:t>以及</w:t>
      </w:r>
      <w:r>
        <w:t>承担评价结果及等级标志的使用与管理等工作。</w:t>
      </w:r>
    </w:p>
    <w:p>
      <w:pPr>
        <w:pStyle w:val="162"/>
      </w:pPr>
      <w:r>
        <w:t>评价工作组负责专利代理</w:t>
      </w:r>
      <w:r>
        <w:rPr>
          <w:rFonts w:hint="eastAsia"/>
          <w:lang w:eastAsia="zh-CN"/>
        </w:rPr>
        <w:t>师</w:t>
      </w:r>
      <w:r>
        <w:t>能力评价工作，应承担负责确定数据来源、采集数据、数据加工等评价工作。</w:t>
      </w:r>
    </w:p>
    <w:p>
      <w:pPr>
        <w:pStyle w:val="104"/>
        <w:spacing w:before="240" w:after="240"/>
      </w:pPr>
      <w:bookmarkStart w:id="54" w:name="_Toc928341717"/>
      <w:r>
        <w:rPr>
          <w:rFonts w:hint="eastAsia"/>
        </w:rPr>
        <w:t>评价程序</w:t>
      </w:r>
      <w:bookmarkEnd w:id="54"/>
    </w:p>
    <w:p>
      <w:pPr>
        <w:pStyle w:val="105"/>
        <w:spacing w:before="120" w:after="120"/>
      </w:pPr>
      <w:bookmarkStart w:id="55" w:name="_Toc1425360810"/>
      <w:r>
        <w:rPr>
          <w:rFonts w:hint="eastAsia"/>
        </w:rPr>
        <w:t>评价周期</w:t>
      </w:r>
      <w:bookmarkEnd w:id="55"/>
    </w:p>
    <w:p>
      <w:pPr>
        <w:pStyle w:val="56"/>
        <w:ind w:left="0" w:leftChars="0" w:firstLine="0" w:firstLineChars="0"/>
      </w:pPr>
      <w:r>
        <w:rPr>
          <w:rFonts w:hint="eastAsia"/>
          <w:lang w:val="en-US" w:eastAsia="zh-CN"/>
        </w:rPr>
        <w:t xml:space="preserve">7.1.1 </w:t>
      </w:r>
      <w:r>
        <w:rPr>
          <w:rFonts w:hint="eastAsia"/>
        </w:rPr>
        <w:t>每3年自主开展一次专利代理师能力无感评价，到期之后自动开展下次无感评价。</w:t>
      </w:r>
    </w:p>
    <w:p>
      <w:pPr>
        <w:pStyle w:val="179"/>
        <w:numPr>
          <w:ilvl w:val="0"/>
          <w:numId w:val="0"/>
        </w:numPr>
        <w:rPr>
          <w:rFonts w:hint="eastAsia" w:ascii="宋体" w:hAnsi="Times New Roman" w:eastAsia="宋体" w:cs="Times New Roman"/>
          <w:sz w:val="21"/>
          <w:szCs w:val="20"/>
          <w:lang w:val="en-US" w:eastAsia="zh-CN" w:bidi="ar-SA"/>
        </w:rPr>
      </w:pPr>
      <w:r>
        <w:rPr>
          <w:rFonts w:hint="eastAsia" w:cs="Times New Roman"/>
          <w:sz w:val="21"/>
          <w:szCs w:val="20"/>
          <w:lang w:val="en-US" w:eastAsia="zh-CN" w:bidi="ar-SA"/>
        </w:rPr>
        <w:t xml:space="preserve">7.1.2 </w:t>
      </w:r>
      <w:r>
        <w:rPr>
          <w:rFonts w:hint="eastAsia" w:ascii="宋体" w:hAnsi="Times New Roman" w:eastAsia="宋体" w:cs="Times New Roman"/>
          <w:sz w:val="21"/>
          <w:szCs w:val="20"/>
          <w:lang w:val="en-US" w:eastAsia="zh-CN" w:bidi="ar-SA"/>
        </w:rPr>
        <w:t>当出现以下情形时，可增加评价工作频率：</w:t>
      </w:r>
    </w:p>
    <w:p>
      <w:pPr>
        <w:pStyle w:val="109"/>
        <w:numPr>
          <w:ilvl w:val="1"/>
          <w:numId w:val="32"/>
        </w:numPr>
        <w:rPr>
          <w:rFonts w:hint="eastAsia" w:ascii="宋体" w:hAnsi="Times New Roman" w:eastAsia="宋体" w:cs="Times New Roman"/>
          <w:sz w:val="21"/>
          <w:szCs w:val="20"/>
          <w:lang w:val="en-US" w:eastAsia="zh-CN" w:bidi="ar-SA"/>
        </w:rPr>
      </w:pPr>
      <w:r>
        <w:rPr>
          <w:rFonts w:hint="eastAsia" w:ascii="宋体" w:hAnsi="Times New Roman" w:eastAsia="宋体" w:cs="Times New Roman"/>
          <w:sz w:val="21"/>
          <w:szCs w:val="20"/>
          <w:lang w:val="en-US" w:eastAsia="zh-CN" w:bidi="ar-SA"/>
        </w:rPr>
        <w:t>当专利代理行业相关的法律法规或行业标准发生重大变化时；</w:t>
      </w:r>
    </w:p>
    <w:p>
      <w:pPr>
        <w:pStyle w:val="109"/>
        <w:rPr>
          <w:rFonts w:hint="eastAsia" w:ascii="宋体" w:hAnsi="Times New Roman" w:eastAsia="宋体" w:cs="Times New Roman"/>
          <w:sz w:val="21"/>
          <w:szCs w:val="20"/>
          <w:lang w:val="en-US" w:eastAsia="zh-CN" w:bidi="ar-SA"/>
        </w:rPr>
      </w:pPr>
      <w:r>
        <w:rPr>
          <w:rFonts w:hint="eastAsia" w:ascii="宋体" w:hAnsi="Times New Roman" w:eastAsia="宋体" w:cs="Times New Roman"/>
          <w:sz w:val="21"/>
          <w:szCs w:val="20"/>
          <w:lang w:val="en-US" w:eastAsia="zh-CN" w:bidi="ar-SA"/>
        </w:rPr>
        <w:t>评价工作组基于行业发展的实际需要，也可主动对评价工作频率进行调整。</w:t>
      </w:r>
    </w:p>
    <w:p>
      <w:pPr>
        <w:pStyle w:val="105"/>
        <w:spacing w:before="120" w:after="120"/>
      </w:pPr>
      <w:bookmarkStart w:id="56" w:name="_Toc870464456"/>
      <w:r>
        <w:rPr>
          <w:rFonts w:hint="eastAsia"/>
        </w:rPr>
        <w:t>评价方法</w:t>
      </w:r>
      <w:bookmarkEnd w:id="56"/>
    </w:p>
    <w:p>
      <w:pPr>
        <w:pStyle w:val="165"/>
        <w:rPr>
          <w:highlight w:val="none"/>
        </w:rPr>
      </w:pPr>
      <w:r>
        <w:rPr>
          <w:rFonts w:hint="eastAsia"/>
          <w:highlight w:val="none"/>
          <w:lang w:eastAsia="zh-CN"/>
        </w:rPr>
        <w:t>专利代理师能力无感评价分值计算方法见附录</w:t>
      </w:r>
      <w:r>
        <w:rPr>
          <w:rFonts w:hint="eastAsia"/>
          <w:highlight w:val="none"/>
          <w:lang w:val="en-US" w:eastAsia="zh-CN"/>
        </w:rPr>
        <w:t>A，无感评价内容及具体分值见附录B。</w:t>
      </w:r>
    </w:p>
    <w:p>
      <w:pPr>
        <w:pStyle w:val="165"/>
      </w:pPr>
      <w:r>
        <w:rPr>
          <w:rFonts w:hint="eastAsia"/>
        </w:rPr>
        <w:t>评价等级为五级，从高到低依次为五星、四星、三星、二星、一星，等级标志记为“★★★★★、★★★★、★★★、★★、★”。总分采用百分制，等级与分数对应关系见附录</w:t>
      </w:r>
      <w:r>
        <w:rPr>
          <w:rFonts w:hint="eastAsia"/>
          <w:lang w:val="en-US" w:eastAsia="zh-CN"/>
        </w:rPr>
        <w:t>C</w:t>
      </w:r>
      <w:r>
        <w:rPr>
          <w:rFonts w:hint="eastAsia"/>
        </w:rPr>
        <w:t>。</w:t>
      </w:r>
    </w:p>
    <w:p>
      <w:pPr>
        <w:pStyle w:val="165"/>
      </w:pPr>
      <w:r>
        <w:rPr>
          <w:rFonts w:hint="eastAsia"/>
        </w:rPr>
        <w:t xml:space="preserve">分数计算求和公式  </w:t>
      </w:r>
    </w:p>
    <w:p>
      <w:pPr>
        <w:pStyle w:val="56"/>
        <w:ind w:firstLine="420"/>
      </w:pPr>
      <w:r>
        <w:rPr>
          <w:rFonts w:hint="eastAsia"/>
        </w:rPr>
        <w:t>设：</w:t>
      </w:r>
    </w:p>
    <w:p>
      <w:pPr>
        <w:pStyle w:val="109"/>
        <w:numPr>
          <w:ilvl w:val="1"/>
          <w:numId w:val="33"/>
        </w:numPr>
      </w:pPr>
      <w:r>
        <w:rPr>
          <w:rFonts w:hint="eastAsia"/>
        </w:rPr>
        <w:t>共有 n 项二级评价指标；</w:t>
      </w:r>
    </w:p>
    <w:p>
      <w:pPr>
        <w:pStyle w:val="109"/>
      </w:pPr>
      <w:r>
        <w:rPr>
          <w:rFonts w:hint="eastAsia"/>
        </w:rPr>
        <w:t>第 i 项指标得分为x</w:t>
      </w:r>
      <w:r>
        <w:rPr>
          <w:rFonts w:hint="eastAsia"/>
          <w:vertAlign w:val="subscript"/>
        </w:rPr>
        <w:t>i</w:t>
      </w:r>
      <w:r>
        <w:rPr>
          <w:rFonts w:hint="eastAsia"/>
        </w:rPr>
        <w:t>（百分制，0 ≤ x</w:t>
      </w:r>
      <w:r>
        <w:rPr>
          <w:rFonts w:hint="eastAsia"/>
          <w:vertAlign w:val="subscript"/>
        </w:rPr>
        <w:t>i</w:t>
      </w:r>
      <w:r>
        <w:rPr>
          <w:rFonts w:hint="eastAsia"/>
        </w:rPr>
        <w:t>≤ 100）；</w:t>
      </w:r>
    </w:p>
    <w:p>
      <w:pPr>
        <w:pStyle w:val="109"/>
      </w:pPr>
      <w:r>
        <w:rPr>
          <w:rFonts w:hint="eastAsia"/>
        </w:rPr>
        <w:t>第 i 项指标权重为w</w:t>
      </w:r>
      <w:r>
        <w:rPr>
          <w:rFonts w:hint="eastAsia"/>
          <w:vertAlign w:val="subscript"/>
        </w:rPr>
        <w:t>i</w:t>
      </w:r>
      <w:r>
        <w:rPr>
          <w:rFonts w:hint="eastAsia"/>
        </w:rPr>
        <w:t>（0 &lt; w</w:t>
      </w:r>
      <w:r>
        <w:rPr>
          <w:rFonts w:hint="eastAsia"/>
          <w:vertAlign w:val="subscript"/>
        </w:rPr>
        <w:t>i</w:t>
      </w:r>
      <w:r>
        <w:rPr>
          <w:rFonts w:hint="eastAsia"/>
        </w:rPr>
        <w:t>&lt; 1，且</w:t>
      </w:r>
      <m:oMath>
        <m:nary>
          <m:naryPr>
            <m:chr m:val="∑"/>
            <m:limLoc m:val="subSup"/>
            <m:ctrlPr>
              <w:rPr>
                <w:rFonts w:ascii="Cambria Math" w:hAnsi="Cambria Math" w:eastAsia="仿宋_GB2312" w:cs="仿宋_GB2312"/>
                <w:kern w:val="2"/>
                <w:sz w:val="24"/>
                <w:szCs w:val="24"/>
              </w:rPr>
            </m:ctrlPr>
          </m:naryPr>
          <m:sub>
            <m:r>
              <m:rPr>
                <m:sty m:val="p"/>
              </m:rPr>
              <w:rPr>
                <w:rFonts w:ascii="Cambria Math" w:hAnsi="Cambria Math" w:eastAsia="仿宋_GB2312" w:cs="仿宋_GB2312"/>
                <w:kern w:val="2"/>
                <w:sz w:val="24"/>
                <w:szCs w:val="24"/>
              </w:rPr>
              <m:t>i=1</m:t>
            </m:r>
            <m:ctrlPr>
              <w:rPr>
                <w:rFonts w:ascii="Cambria Math" w:hAnsi="Cambria Math" w:eastAsia="仿宋_GB2312" w:cs="仿宋_GB2312"/>
                <w:kern w:val="2"/>
                <w:sz w:val="24"/>
                <w:szCs w:val="24"/>
              </w:rPr>
            </m:ctrlPr>
          </m:sub>
          <m:sup>
            <m:r>
              <m:rPr>
                <m:sty m:val="p"/>
              </m:rPr>
              <w:rPr>
                <w:rFonts w:ascii="Cambria Math" w:hAnsi="Cambria Math" w:eastAsia="仿宋_GB2312" w:cs="仿宋_GB2312"/>
                <w:kern w:val="2"/>
                <w:sz w:val="24"/>
                <w:szCs w:val="24"/>
              </w:rPr>
              <m:t>n</m:t>
            </m:r>
            <m:ctrlPr>
              <w:rPr>
                <w:rFonts w:ascii="Cambria Math" w:hAnsi="Cambria Math" w:eastAsia="仿宋_GB2312" w:cs="仿宋_GB2312"/>
                <w:kern w:val="2"/>
                <w:sz w:val="24"/>
                <w:szCs w:val="24"/>
              </w:rPr>
            </m:ctrlPr>
          </m:sup>
          <m:e>
            <m:sSub>
              <m:sSubPr>
                <m:ctrlPr>
                  <w:rPr>
                    <w:rFonts w:ascii="Cambria Math" w:hAnsi="Cambria Math" w:eastAsia="仿宋_GB2312" w:cs="仿宋_GB2312"/>
                    <w:kern w:val="2"/>
                    <w:sz w:val="24"/>
                    <w:szCs w:val="24"/>
                  </w:rPr>
                </m:ctrlPr>
              </m:sSubPr>
              <m:e>
                <m:r>
                  <m:rPr>
                    <m:sty m:val="p"/>
                  </m:rPr>
                  <w:rPr>
                    <w:rFonts w:ascii="Cambria Math" w:hAnsi="Cambria Math" w:eastAsia="仿宋_GB2312" w:cs="仿宋_GB2312"/>
                    <w:kern w:val="2"/>
                    <w:sz w:val="24"/>
                    <w:szCs w:val="24"/>
                  </w:rPr>
                  <m:t>w</m:t>
                </m:r>
                <m:ctrlPr>
                  <w:rPr>
                    <w:rFonts w:ascii="Cambria Math" w:hAnsi="Cambria Math" w:eastAsia="仿宋_GB2312" w:cs="仿宋_GB2312"/>
                    <w:kern w:val="2"/>
                    <w:sz w:val="24"/>
                    <w:szCs w:val="24"/>
                  </w:rPr>
                </m:ctrlPr>
              </m:e>
              <m:sub>
                <m:r>
                  <m:rPr>
                    <m:sty m:val="p"/>
                  </m:rPr>
                  <w:rPr>
                    <w:rFonts w:ascii="Cambria Math" w:hAnsi="Cambria Math" w:eastAsia="仿宋_GB2312" w:cs="仿宋_GB2312"/>
                    <w:kern w:val="2"/>
                    <w:sz w:val="24"/>
                    <w:szCs w:val="24"/>
                  </w:rPr>
                  <m:t>i</m:t>
                </m:r>
                <m:ctrlPr>
                  <w:rPr>
                    <w:rFonts w:ascii="Cambria Math" w:hAnsi="Cambria Math" w:eastAsia="仿宋_GB2312" w:cs="仿宋_GB2312"/>
                    <w:kern w:val="2"/>
                    <w:sz w:val="24"/>
                    <w:szCs w:val="24"/>
                  </w:rPr>
                </m:ctrlPr>
              </m:sub>
            </m:sSub>
            <m:r>
              <m:rPr>
                <m:sty m:val="p"/>
              </m:rPr>
              <w:rPr>
                <w:rFonts w:ascii="Cambria Math" w:hAnsi="Cambria Math" w:eastAsia="仿宋_GB2312" w:cs="仿宋_GB2312"/>
                <w:kern w:val="2"/>
                <w:sz w:val="24"/>
                <w:szCs w:val="24"/>
              </w:rPr>
              <m:t>=1</m:t>
            </m:r>
            <m:ctrlPr>
              <w:rPr>
                <w:rFonts w:ascii="Cambria Math" w:hAnsi="Cambria Math" w:eastAsia="仿宋_GB2312" w:cs="仿宋_GB2312"/>
                <w:kern w:val="2"/>
                <w:sz w:val="24"/>
                <w:szCs w:val="24"/>
              </w:rPr>
            </m:ctrlPr>
          </m:e>
        </m:nary>
      </m:oMath>
      <w:r>
        <w:rPr>
          <w:rFonts w:hint="eastAsia"/>
        </w:rPr>
        <w:t>）；权重不展示在标准中，在每次评价发文时规定。</w:t>
      </w:r>
    </w:p>
    <w:p>
      <w:pPr>
        <w:pStyle w:val="109"/>
      </w:pPr>
      <w:r>
        <w:rPr>
          <w:rFonts w:hint="eastAsia"/>
        </w:rPr>
        <w:t>加分项</w:t>
      </w:r>
      <w:r>
        <w:rPr>
          <w:rFonts w:hint="eastAsia"/>
          <w:lang w:val="en-US" w:eastAsia="zh-CN"/>
        </w:rPr>
        <w:t>D</w:t>
      </w:r>
      <w:r>
        <w:rPr>
          <w:rFonts w:hint="eastAsia"/>
        </w:rPr>
        <w:t>为附加分。</w:t>
      </w:r>
    </w:p>
    <w:p>
      <w:pPr>
        <w:pStyle w:val="56"/>
        <w:ind w:firstLine="420"/>
      </w:pPr>
      <w:r>
        <w:rPr>
          <w:rFonts w:hint="eastAsia"/>
        </w:rPr>
        <w:t>则总分为：</w:t>
      </w:r>
    </w:p>
    <w:p>
      <w:pPr>
        <w:pStyle w:val="113"/>
        <w:rPr>
          <w:rFonts w:hint="eastAsia"/>
        </w:rPr>
      </w:pPr>
      <w:r>
        <w:rPr>
          <w:rFonts w:hint="eastAsia"/>
        </w:rPr>
        <w:tab/>
      </w:r>
      <m:oMath>
        <m:r>
          <m:rPr>
            <m:sty m:val="p"/>
          </m:rPr>
          <w:rPr>
            <w:rFonts w:ascii="DejaVu Math TeX Gyre" w:hAnsi="DejaVu Math TeX Gyre"/>
            <w:sz w:val="28"/>
            <w:szCs w:val="28"/>
          </w:rPr>
          <m:t>S=</m:t>
        </m:r>
        <m:nary>
          <m:naryPr>
            <m:chr m:val="∑"/>
            <m:limLoc m:val="subSup"/>
            <m:ctrlPr>
              <w:rPr>
                <w:rFonts w:ascii="DejaVu Math TeX Gyre" w:hAnsi="DejaVu Math TeX Gyre"/>
                <w:sz w:val="28"/>
                <w:szCs w:val="28"/>
              </w:rPr>
            </m:ctrlPr>
          </m:naryPr>
          <m:sub>
            <m:r>
              <m:rPr>
                <m:sty m:val="p"/>
              </m:rPr>
              <w:rPr>
                <w:rFonts w:ascii="DejaVu Math TeX Gyre" w:hAnsi="DejaVu Math TeX Gyre"/>
                <w:sz w:val="28"/>
                <w:szCs w:val="28"/>
              </w:rPr>
              <m:t>i=1</m:t>
            </m:r>
            <m:ctrlPr>
              <w:rPr>
                <w:rFonts w:ascii="DejaVu Math TeX Gyre" w:hAnsi="DejaVu Math TeX Gyre"/>
                <w:sz w:val="28"/>
                <w:szCs w:val="28"/>
              </w:rPr>
            </m:ctrlPr>
          </m:sub>
          <m:sup>
            <m:r>
              <m:rPr>
                <m:sty m:val="p"/>
              </m:rPr>
              <w:rPr>
                <w:rFonts w:ascii="DejaVu Math TeX Gyre" w:hAnsi="DejaVu Math TeX Gyre"/>
                <w:sz w:val="28"/>
                <w:szCs w:val="28"/>
              </w:rPr>
              <m:t>n</m:t>
            </m:r>
            <m:ctrlPr>
              <w:rPr>
                <w:rFonts w:ascii="DejaVu Math TeX Gyre" w:hAnsi="DejaVu Math TeX Gyre"/>
                <w:sz w:val="28"/>
                <w:szCs w:val="28"/>
              </w:rPr>
            </m:ctrlPr>
          </m:sup>
          <m:e>
            <m:r>
              <m:rPr>
                <m:sty m:val="p"/>
              </m:rPr>
              <w:rPr>
                <w:rFonts w:ascii="DejaVu Math TeX Gyre" w:hAnsi="DejaVu Math TeX Gyre"/>
                <w:sz w:val="28"/>
                <w:szCs w:val="28"/>
              </w:rPr>
              <m:t>(</m:t>
            </m:r>
            <m:sSub>
              <m:sSubPr>
                <m:ctrlPr>
                  <w:rPr>
                    <w:rFonts w:ascii="DejaVu Math TeX Gyre" w:hAnsi="DejaVu Math TeX Gyre"/>
                    <w:sz w:val="28"/>
                    <w:szCs w:val="28"/>
                  </w:rPr>
                </m:ctrlPr>
              </m:sSubPr>
              <m:e>
                <m:r>
                  <m:rPr>
                    <m:sty m:val="p"/>
                  </m:rPr>
                  <w:rPr>
                    <w:rFonts w:ascii="DejaVu Math TeX Gyre" w:hAnsi="DejaVu Math TeX Gyre"/>
                    <w:sz w:val="28"/>
                    <w:szCs w:val="28"/>
                  </w:rPr>
                  <m:t>x</m:t>
                </m:r>
                <m:ctrlPr>
                  <w:rPr>
                    <w:rFonts w:ascii="DejaVu Math TeX Gyre" w:hAnsi="DejaVu Math TeX Gyre"/>
                    <w:sz w:val="28"/>
                    <w:szCs w:val="28"/>
                  </w:rPr>
                </m:ctrlPr>
              </m:e>
              <m:sub>
                <m:r>
                  <m:rPr>
                    <m:sty m:val="p"/>
                  </m:rPr>
                  <w:rPr>
                    <w:rFonts w:ascii="DejaVu Math TeX Gyre" w:hAnsi="DejaVu Math TeX Gyre"/>
                    <w:sz w:val="28"/>
                    <w:szCs w:val="28"/>
                  </w:rPr>
                  <m:t>i</m:t>
                </m:r>
                <m:ctrlPr>
                  <w:rPr>
                    <w:rFonts w:ascii="DejaVu Math TeX Gyre" w:hAnsi="DejaVu Math TeX Gyre"/>
                    <w:sz w:val="28"/>
                    <w:szCs w:val="28"/>
                  </w:rPr>
                </m:ctrlPr>
              </m:sub>
            </m:sSub>
            <m:r>
              <m:rPr>
                <m:sty m:val="p"/>
              </m:rPr>
              <w:rPr>
                <w:rFonts w:ascii="DejaVu Math TeX Gyre" w:hAnsi="DejaVu Math TeX Gyre"/>
                <w:sz w:val="28"/>
                <w:szCs w:val="28"/>
              </w:rPr>
              <m:t>×</m:t>
            </m:r>
            <m:sSub>
              <m:sSubPr>
                <m:ctrlPr>
                  <w:rPr>
                    <w:rFonts w:ascii="DejaVu Math TeX Gyre" w:hAnsi="DejaVu Math TeX Gyre"/>
                    <w:sz w:val="28"/>
                    <w:szCs w:val="28"/>
                  </w:rPr>
                </m:ctrlPr>
              </m:sSubPr>
              <m:e>
                <m:r>
                  <m:rPr>
                    <m:sty m:val="p"/>
                  </m:rPr>
                  <w:rPr>
                    <w:rFonts w:ascii="DejaVu Math TeX Gyre" w:hAnsi="DejaVu Math TeX Gyre"/>
                    <w:sz w:val="28"/>
                    <w:szCs w:val="28"/>
                  </w:rPr>
                  <m:t>w</m:t>
                </m:r>
                <m:ctrlPr>
                  <w:rPr>
                    <w:rFonts w:ascii="DejaVu Math TeX Gyre" w:hAnsi="DejaVu Math TeX Gyre"/>
                    <w:sz w:val="28"/>
                    <w:szCs w:val="28"/>
                  </w:rPr>
                </m:ctrlPr>
              </m:e>
              <m:sub>
                <m:r>
                  <m:rPr>
                    <m:sty m:val="p"/>
                  </m:rPr>
                  <w:rPr>
                    <w:rFonts w:ascii="DejaVu Math TeX Gyre" w:hAnsi="DejaVu Math TeX Gyre"/>
                    <w:sz w:val="28"/>
                    <w:szCs w:val="28"/>
                  </w:rPr>
                  <m:t>i</m:t>
                </m:r>
                <m:ctrlPr>
                  <w:rPr>
                    <w:rFonts w:ascii="DejaVu Math TeX Gyre" w:hAnsi="DejaVu Math TeX Gyre"/>
                    <w:sz w:val="28"/>
                    <w:szCs w:val="28"/>
                  </w:rPr>
                </m:ctrlPr>
              </m:sub>
            </m:sSub>
            <m:r>
              <m:rPr>
                <m:sty m:val="p"/>
              </m:rPr>
              <w:rPr>
                <w:rFonts w:ascii="DejaVu Math TeX Gyre" w:hAnsi="DejaVu Math TeX Gyre"/>
                <w:sz w:val="28"/>
                <w:szCs w:val="28"/>
              </w:rPr>
              <m:t>)</m:t>
            </m:r>
            <m:ctrlPr>
              <w:rPr>
                <w:rFonts w:ascii="DejaVu Math TeX Gyre" w:hAnsi="DejaVu Math TeX Gyre"/>
                <w:sz w:val="28"/>
                <w:szCs w:val="28"/>
              </w:rPr>
            </m:ctrlPr>
          </m:e>
        </m:nary>
        <m:r>
          <m:rPr>
            <m:sty m:val="p"/>
          </m:rPr>
          <w:rPr>
            <w:rFonts w:hint="eastAsia" w:ascii="Cambria Math" w:hAnsi="Cambria Math"/>
            <w:sz w:val="28"/>
            <w:szCs w:val="28"/>
          </w:rPr>
          <m:t>＋</m:t>
        </m:r>
        <m:r>
          <m:rPr>
            <m:sty m:val="p"/>
          </m:rPr>
          <w:rPr>
            <w:rFonts w:hint="default" w:ascii="DejaVu Math TeX Gyre" w:hAnsi="DejaVu Math TeX Gyre"/>
            <w:sz w:val="28"/>
            <w:szCs w:val="28"/>
            <w:lang w:val="en-US" w:eastAsia="zh-CN"/>
          </w:rPr>
          <m:t>D</m:t>
        </m:r>
      </m:oMath>
    </w:p>
    <w:p>
      <w:pPr>
        <w:pStyle w:val="112"/>
        <w:spacing w:before="120" w:after="120"/>
      </w:pPr>
      <w:r>
        <w:rPr>
          <w:rFonts w:hint="eastAsia"/>
        </w:rPr>
        <w:t>计算示例（以某</w:t>
      </w:r>
      <w:r>
        <w:t>专利代理师</w:t>
      </w:r>
      <w:r>
        <w:rPr>
          <w:rFonts w:hint="eastAsia"/>
        </w:rPr>
        <w:t>为例）</w:t>
      </w:r>
    </w:p>
    <w:tbl>
      <w:tblPr>
        <w:tblStyle w:val="27"/>
        <w:tblW w:w="812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2791"/>
        <w:gridCol w:w="1272"/>
        <w:gridCol w:w="1738"/>
        <w:gridCol w:w="232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91" w:type="dxa"/>
            <w:tcBorders>
              <w:top w:val="single" w:color="auto" w:sz="8" w:space="0"/>
              <w:bottom w:val="single" w:color="auto" w:sz="8" w:space="0"/>
            </w:tcBorders>
            <w:vAlign w:val="center"/>
          </w:tcPr>
          <w:p>
            <w:pPr>
              <w:widowControl/>
              <w:spacing w:line="240" w:lineRule="auto"/>
              <w:jc w:val="center"/>
              <w:rPr>
                <w:rFonts w:hint="eastAsia" w:asciiTheme="minorEastAsia" w:hAnsiTheme="minorEastAsia" w:cstheme="minorEastAsia"/>
                <w:sz w:val="18"/>
              </w:rPr>
            </w:pPr>
            <w:bookmarkStart w:id="57" w:name="_Toc2121605363"/>
            <w:r>
              <w:rPr>
                <w:rFonts w:hint="eastAsia" w:asciiTheme="minorEastAsia" w:hAnsiTheme="minorEastAsia" w:eastAsiaTheme="minorEastAsia" w:cstheme="minorEastAsia"/>
                <w:sz w:val="18"/>
                <w:szCs w:val="24"/>
              </w:rPr>
              <w:t>评价指标</w:t>
            </w:r>
          </w:p>
        </w:tc>
        <w:tc>
          <w:tcPr>
            <w:tcW w:w="1272" w:type="dxa"/>
            <w:tcBorders>
              <w:top w:val="single" w:color="auto" w:sz="8" w:space="0"/>
              <w:bottom w:val="single" w:color="auto" w:sz="8" w:space="0"/>
            </w:tcBorders>
            <w:vAlign w:val="center"/>
          </w:tcPr>
          <w:p>
            <w:pPr>
              <w:widowControl/>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得分X</w:t>
            </w:r>
            <w:r>
              <w:rPr>
                <w:rFonts w:hint="eastAsia" w:asciiTheme="minorEastAsia" w:hAnsiTheme="minorEastAsia" w:eastAsiaTheme="minorEastAsia" w:cstheme="minorEastAsia"/>
                <w:sz w:val="18"/>
                <w:szCs w:val="24"/>
                <w:vertAlign w:val="subscript"/>
              </w:rPr>
              <w:t>i</w:t>
            </w:r>
          </w:p>
        </w:tc>
        <w:tc>
          <w:tcPr>
            <w:tcW w:w="1738" w:type="dxa"/>
            <w:tcBorders>
              <w:top w:val="single" w:color="auto" w:sz="8" w:space="0"/>
              <w:bottom w:val="single" w:color="auto" w:sz="8" w:space="0"/>
            </w:tcBorders>
            <w:vAlign w:val="center"/>
          </w:tcPr>
          <w:p>
            <w:pPr>
              <w:widowControl/>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权重w</w:t>
            </w:r>
            <w:r>
              <w:rPr>
                <w:rFonts w:hint="eastAsia" w:asciiTheme="minorEastAsia" w:hAnsiTheme="minorEastAsia" w:eastAsiaTheme="minorEastAsia" w:cstheme="minorEastAsia"/>
                <w:sz w:val="18"/>
                <w:szCs w:val="24"/>
                <w:vertAlign w:val="subscript"/>
              </w:rPr>
              <w:t>i</w:t>
            </w:r>
          </w:p>
        </w:tc>
        <w:tc>
          <w:tcPr>
            <w:tcW w:w="2325" w:type="dxa"/>
            <w:tcBorders>
              <w:top w:val="single" w:color="auto" w:sz="8" w:space="0"/>
              <w:bottom w:val="single" w:color="auto" w:sz="8" w:space="0"/>
            </w:tcBorders>
            <w:vAlign w:val="center"/>
          </w:tcPr>
          <w:p>
            <w:pPr>
              <w:widowControl/>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加权得分x</w:t>
            </w:r>
            <w:r>
              <w:rPr>
                <w:rFonts w:hint="eastAsia" w:asciiTheme="minorEastAsia" w:hAnsiTheme="minorEastAsia" w:eastAsiaTheme="minorEastAsia" w:cstheme="minorEastAsia"/>
                <w:sz w:val="18"/>
                <w:szCs w:val="24"/>
                <w:vertAlign w:val="subscript"/>
              </w:rPr>
              <w:t>i</w:t>
            </w:r>
            <w:r>
              <w:rPr>
                <w:rFonts w:hint="eastAsia" w:asciiTheme="minorEastAsia" w:hAnsiTheme="minorEastAsia" w:eastAsiaTheme="minorEastAsia" w:cstheme="minorEastAsia"/>
                <w:sz w:val="18"/>
                <w:szCs w:val="24"/>
              </w:rPr>
              <w:t>×w</w:t>
            </w:r>
            <w:r>
              <w:rPr>
                <w:rFonts w:hint="eastAsia" w:asciiTheme="minorEastAsia" w:hAnsiTheme="minorEastAsia" w:eastAsiaTheme="minorEastAsia" w:cstheme="minorEastAsia"/>
                <w:sz w:val="18"/>
                <w:szCs w:val="24"/>
                <w:vertAlign w:val="subscript"/>
              </w:rPr>
              <w:t>i</w:t>
            </w:r>
            <w:r>
              <w:rPr>
                <w:rFonts w:hint="eastAsia" w:asciiTheme="minorEastAsia" w:hAnsiTheme="minorEastAsia" w:eastAsiaTheme="minorEastAsia" w:cstheme="minorEastAsia"/>
                <w:sz w:val="18"/>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91" w:type="dxa"/>
            <w:tcBorders>
              <w:top w:val="single" w:color="auto" w:sz="8" w:space="0"/>
            </w:tcBorders>
            <w:vAlign w:val="center"/>
          </w:tcPr>
          <w:p>
            <w:pPr>
              <w:widowControl/>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海外</w:t>
            </w:r>
            <w:r>
              <w:rPr>
                <w:rFonts w:asciiTheme="minorEastAsia" w:hAnsiTheme="minorEastAsia" w:eastAsiaTheme="minorEastAsia" w:cstheme="minorEastAsia"/>
                <w:sz w:val="18"/>
                <w:szCs w:val="24"/>
              </w:rPr>
              <w:t>发明</w:t>
            </w:r>
            <w:r>
              <w:rPr>
                <w:rFonts w:ascii="sans-serif" w:hAnsi="sans-serif" w:eastAsia="sans-serif" w:cs="sans-serif"/>
                <w:color w:val="171A1D"/>
                <w:sz w:val="18"/>
                <w:szCs w:val="22"/>
                <w:shd w:val="clear" w:color="auto" w:fill="FFFFFF"/>
              </w:rPr>
              <w:t>专利申请</w:t>
            </w:r>
            <w:r>
              <w:rPr>
                <w:rFonts w:hint="eastAsia" w:asciiTheme="minorEastAsia" w:hAnsiTheme="minorEastAsia" w:eastAsiaTheme="minorEastAsia" w:cstheme="minorEastAsia"/>
                <w:sz w:val="18"/>
                <w:szCs w:val="24"/>
              </w:rPr>
              <w:t>量</w:t>
            </w:r>
          </w:p>
        </w:tc>
        <w:tc>
          <w:tcPr>
            <w:tcW w:w="1272" w:type="dxa"/>
            <w:tcBorders>
              <w:top w:val="single" w:color="auto" w:sz="8" w:space="0"/>
            </w:tcBorders>
            <w:vAlign w:val="center"/>
          </w:tcPr>
          <w:p>
            <w:pPr>
              <w:widowControl/>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100</w:t>
            </w:r>
          </w:p>
        </w:tc>
        <w:tc>
          <w:tcPr>
            <w:tcW w:w="1738" w:type="dxa"/>
            <w:tcBorders>
              <w:top w:val="single" w:color="auto" w:sz="8" w:space="0"/>
            </w:tcBorders>
            <w:vAlign w:val="center"/>
          </w:tcPr>
          <w:p>
            <w:pPr>
              <w:widowControl/>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0.05</w:t>
            </w:r>
          </w:p>
        </w:tc>
        <w:tc>
          <w:tcPr>
            <w:tcW w:w="2325" w:type="dxa"/>
            <w:tcBorders>
              <w:top w:val="single" w:color="auto" w:sz="8" w:space="0"/>
            </w:tcBorders>
            <w:vAlign w:val="center"/>
          </w:tcPr>
          <w:p>
            <w:pPr>
              <w:widowControl/>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91" w:type="dxa"/>
            <w:vAlign w:val="center"/>
          </w:tcPr>
          <w:p>
            <w:pPr>
              <w:widowControl/>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lang w:eastAsia="zh-CN"/>
              </w:rPr>
              <w:t>代理</w:t>
            </w:r>
            <w:r>
              <w:rPr>
                <w:rFonts w:hint="eastAsia" w:asciiTheme="minorEastAsia" w:hAnsiTheme="minorEastAsia" w:eastAsiaTheme="minorEastAsia" w:cstheme="minorEastAsia"/>
                <w:sz w:val="18"/>
                <w:szCs w:val="24"/>
              </w:rPr>
              <w:t>发明专利申请量</w:t>
            </w:r>
          </w:p>
        </w:tc>
        <w:tc>
          <w:tcPr>
            <w:tcW w:w="1272" w:type="dxa"/>
            <w:vAlign w:val="center"/>
          </w:tcPr>
          <w:p>
            <w:pPr>
              <w:widowControl/>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100</w:t>
            </w:r>
          </w:p>
        </w:tc>
        <w:tc>
          <w:tcPr>
            <w:tcW w:w="1738" w:type="dxa"/>
            <w:vAlign w:val="center"/>
          </w:tcPr>
          <w:p>
            <w:pPr>
              <w:widowControl/>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0.05</w:t>
            </w:r>
          </w:p>
        </w:tc>
        <w:tc>
          <w:tcPr>
            <w:tcW w:w="2325" w:type="dxa"/>
            <w:vAlign w:val="center"/>
          </w:tcPr>
          <w:p>
            <w:pPr>
              <w:widowControl/>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2791" w:type="dxa"/>
            <w:vAlign w:val="center"/>
          </w:tcPr>
          <w:p>
            <w:pPr>
              <w:widowControl/>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w:t>
            </w:r>
          </w:p>
        </w:tc>
        <w:tc>
          <w:tcPr>
            <w:tcW w:w="1272" w:type="dxa"/>
            <w:vAlign w:val="center"/>
          </w:tcPr>
          <w:p>
            <w:pPr>
              <w:widowControl/>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w:t>
            </w:r>
          </w:p>
        </w:tc>
        <w:tc>
          <w:tcPr>
            <w:tcW w:w="1738" w:type="dxa"/>
            <w:vAlign w:val="center"/>
          </w:tcPr>
          <w:p>
            <w:pPr>
              <w:widowControl/>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w:t>
            </w:r>
          </w:p>
        </w:tc>
        <w:tc>
          <w:tcPr>
            <w:tcW w:w="2325" w:type="dxa"/>
            <w:vAlign w:val="center"/>
          </w:tcPr>
          <w:p>
            <w:pPr>
              <w:widowControl/>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91" w:type="dxa"/>
            <w:vAlign w:val="center"/>
          </w:tcPr>
          <w:p>
            <w:pPr>
              <w:widowControl/>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代理发明专利申请撤回率</w:t>
            </w:r>
          </w:p>
        </w:tc>
        <w:tc>
          <w:tcPr>
            <w:tcW w:w="1272" w:type="dxa"/>
            <w:vAlign w:val="center"/>
          </w:tcPr>
          <w:p>
            <w:pPr>
              <w:widowControl/>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60</w:t>
            </w:r>
          </w:p>
        </w:tc>
        <w:tc>
          <w:tcPr>
            <w:tcW w:w="1738" w:type="dxa"/>
            <w:vAlign w:val="center"/>
          </w:tcPr>
          <w:p>
            <w:pPr>
              <w:widowControl/>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0.15</w:t>
            </w:r>
          </w:p>
        </w:tc>
        <w:tc>
          <w:tcPr>
            <w:tcW w:w="2325" w:type="dxa"/>
            <w:vAlign w:val="center"/>
          </w:tcPr>
          <w:p>
            <w:pPr>
              <w:widowControl/>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91" w:type="dxa"/>
            <w:vAlign w:val="center"/>
          </w:tcPr>
          <w:p>
            <w:pPr>
              <w:widowControl/>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加分项</w:t>
            </w:r>
          </w:p>
        </w:tc>
        <w:tc>
          <w:tcPr>
            <w:tcW w:w="1272" w:type="dxa"/>
            <w:vAlign w:val="center"/>
          </w:tcPr>
          <w:p>
            <w:pPr>
              <w:widowControl/>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4</w:t>
            </w:r>
          </w:p>
        </w:tc>
        <w:tc>
          <w:tcPr>
            <w:tcW w:w="1738" w:type="dxa"/>
            <w:vAlign w:val="center"/>
          </w:tcPr>
          <w:p>
            <w:pPr>
              <w:widowControl/>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w:t>
            </w:r>
          </w:p>
        </w:tc>
        <w:tc>
          <w:tcPr>
            <w:tcW w:w="2325" w:type="dxa"/>
            <w:vAlign w:val="center"/>
          </w:tcPr>
          <w:p>
            <w:pPr>
              <w:widowControl/>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791" w:type="dxa"/>
            <w:vAlign w:val="center"/>
          </w:tcPr>
          <w:p>
            <w:pPr>
              <w:widowControl/>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合计</w:t>
            </w:r>
          </w:p>
        </w:tc>
        <w:tc>
          <w:tcPr>
            <w:tcW w:w="1272" w:type="dxa"/>
            <w:vAlign w:val="center"/>
          </w:tcPr>
          <w:p>
            <w:pPr>
              <w:widowControl/>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w:t>
            </w:r>
          </w:p>
        </w:tc>
        <w:tc>
          <w:tcPr>
            <w:tcW w:w="1738" w:type="dxa"/>
            <w:vAlign w:val="center"/>
          </w:tcPr>
          <w:p>
            <w:pPr>
              <w:widowControl/>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1</w:t>
            </w:r>
          </w:p>
        </w:tc>
        <w:tc>
          <w:tcPr>
            <w:tcW w:w="2325" w:type="dxa"/>
            <w:vAlign w:val="center"/>
          </w:tcPr>
          <w:p>
            <w:pPr>
              <w:widowControl/>
              <w:spacing w:line="240" w:lineRule="auto"/>
              <w:jc w:val="center"/>
              <w:rPr>
                <w:rFonts w:hint="eastAsia" w:asciiTheme="minorEastAsia" w:hAnsiTheme="minorEastAsia" w:cstheme="minorEastAsia"/>
                <w:sz w:val="18"/>
              </w:rPr>
            </w:pPr>
            <w:r>
              <w:rPr>
                <w:rFonts w:hint="eastAsia" w:asciiTheme="minorEastAsia" w:hAnsiTheme="minorEastAsia" w:eastAsiaTheme="minorEastAsia" w:cstheme="minorEastAsia"/>
                <w:sz w:val="18"/>
                <w:szCs w:val="24"/>
              </w:rPr>
              <w:t>S=86.75</w:t>
            </w:r>
          </w:p>
        </w:tc>
      </w:tr>
    </w:tbl>
    <w:p>
      <w:pPr>
        <w:pStyle w:val="105"/>
        <w:spacing w:before="120" w:after="120"/>
      </w:pPr>
      <w:r>
        <w:rPr>
          <w:rFonts w:hint="eastAsia"/>
        </w:rPr>
        <w:t>结果应用</w:t>
      </w:r>
      <w:bookmarkEnd w:id="57"/>
    </w:p>
    <w:p>
      <w:pPr>
        <w:pStyle w:val="109"/>
        <w:numPr>
          <w:ilvl w:val="1"/>
          <w:numId w:val="0"/>
        </w:numPr>
        <w:rPr>
          <w:rFonts w:hint="eastAsia" w:eastAsia="宋体"/>
          <w:lang w:eastAsia="zh-CN"/>
        </w:rPr>
      </w:pPr>
      <w:r>
        <w:rPr>
          <w:rFonts w:hint="eastAsia"/>
          <w:lang w:val="en-US" w:eastAsia="zh-CN"/>
        </w:rPr>
        <w:t xml:space="preserve">7.3.1 </w:t>
      </w:r>
      <w:r>
        <w:t>为各级专利行政主管部门对专利代理</w:t>
      </w:r>
      <w:r>
        <w:rPr>
          <w:rFonts w:hint="eastAsia"/>
          <w:lang w:eastAsia="zh-CN"/>
        </w:rPr>
        <w:t>师</w:t>
      </w:r>
      <w:r>
        <w:t>实施差异化监管提供参考依据</w:t>
      </w:r>
      <w:r>
        <w:rPr>
          <w:rFonts w:hint="eastAsia"/>
          <w:lang w:eastAsia="zh-CN"/>
        </w:rPr>
        <w:t>。</w:t>
      </w:r>
    </w:p>
    <w:p>
      <w:pPr>
        <w:pStyle w:val="109"/>
        <w:numPr>
          <w:ilvl w:val="1"/>
          <w:numId w:val="0"/>
        </w:numPr>
        <w:rPr>
          <w:rFonts w:hint="eastAsia" w:eastAsia="宋体"/>
          <w:lang w:eastAsia="zh-CN"/>
        </w:rPr>
      </w:pPr>
      <w:r>
        <w:rPr>
          <w:rFonts w:hint="eastAsia"/>
          <w:lang w:val="en-US" w:eastAsia="zh-CN"/>
        </w:rPr>
        <w:t xml:space="preserve">7.3.2 </w:t>
      </w:r>
      <w:r>
        <w:t>作为行业主管部门或相关组织开展典型案例推荐、评选活动的参考条件</w:t>
      </w:r>
      <w:r>
        <w:rPr>
          <w:rFonts w:hint="eastAsia"/>
          <w:lang w:eastAsia="zh-CN"/>
        </w:rPr>
        <w:t>。</w:t>
      </w:r>
    </w:p>
    <w:p>
      <w:pPr>
        <w:pStyle w:val="109"/>
        <w:numPr>
          <w:ilvl w:val="1"/>
          <w:numId w:val="0"/>
        </w:numPr>
      </w:pPr>
      <w:r>
        <w:rPr>
          <w:rFonts w:hint="eastAsia"/>
          <w:lang w:val="en-US" w:eastAsia="zh-CN"/>
        </w:rPr>
        <w:t xml:space="preserve">7.3.3 </w:t>
      </w:r>
      <w:r>
        <w:t>评价工作组可根据实际工作需要，在相关管理规定中明确评价结果的其他具体用途。</w:t>
      </w:r>
    </w:p>
    <w:p>
      <w:pPr>
        <w:pStyle w:val="105"/>
        <w:spacing w:before="120" w:after="120"/>
      </w:pPr>
      <w:bookmarkStart w:id="58" w:name="_Toc1490588230"/>
      <w:r>
        <w:rPr>
          <w:rFonts w:hint="eastAsia"/>
        </w:rPr>
        <w:t>异议</w:t>
      </w:r>
      <w:bookmarkEnd w:id="58"/>
    </w:p>
    <w:p>
      <w:pPr>
        <w:pStyle w:val="165"/>
      </w:pPr>
      <w:r>
        <w:t>对评价结论有异议的，应向评价工作组提出书面异议材料以及署名其姓名和工作单位的相关证明材料，并附具异议人姓名、工作单位等署名信息及相关证明材料。</w:t>
      </w:r>
    </w:p>
    <w:p>
      <w:pPr>
        <w:pStyle w:val="165"/>
      </w:pPr>
      <w:r>
        <w:t>收到异议后，应及时作出答复，并依据异议内容决定是否重新组织评价。</w:t>
      </w:r>
    </w:p>
    <w:p>
      <w:pPr>
        <w:pStyle w:val="165"/>
      </w:pPr>
      <w:r>
        <w:t>异议人提出申诉的，应自行提供相关数据及可靠来源的证明材料。评价工作</w:t>
      </w:r>
      <w:r>
        <w:rPr>
          <w:rFonts w:hint="eastAsia"/>
          <w:lang w:eastAsia="zh-CN"/>
        </w:rPr>
        <w:t>组</w:t>
      </w:r>
      <w:r>
        <w:t>对申诉材料核验后，可据此重新开展评价工作。</w:t>
      </w:r>
    </w:p>
    <w:p>
      <w:pPr>
        <w:pStyle w:val="104"/>
        <w:spacing w:before="240" w:after="240"/>
      </w:pPr>
      <w:bookmarkStart w:id="59" w:name="_Toc6232237"/>
      <w:r>
        <w:rPr>
          <w:rFonts w:hint="eastAsia"/>
        </w:rPr>
        <w:t>标志使用</w:t>
      </w:r>
      <w:bookmarkEnd w:id="59"/>
    </w:p>
    <w:p>
      <w:pPr>
        <w:pStyle w:val="105"/>
        <w:spacing w:before="120" w:after="120"/>
        <w:ind w:left="0" w:firstLine="0"/>
      </w:pPr>
      <w:bookmarkStart w:id="60" w:name="_Toc1475232982"/>
      <w:bookmarkStart w:id="61" w:name="_Toc1718234051"/>
      <w:r>
        <w:rPr>
          <w:rFonts w:hint="eastAsia"/>
          <w:lang w:eastAsia="zh-CN"/>
        </w:rPr>
        <w:t>使用途径</w:t>
      </w:r>
      <w:bookmarkEnd w:id="60"/>
      <w:bookmarkEnd w:id="61"/>
    </w:p>
    <w:p>
      <w:pPr>
        <w:pStyle w:val="165"/>
      </w:pPr>
      <w:r>
        <w:rPr>
          <w:rFonts w:hint="eastAsia"/>
        </w:rPr>
        <w:t>专利代理</w:t>
      </w:r>
      <w:r>
        <w:rPr>
          <w:rFonts w:hint="eastAsia"/>
          <w:lang w:eastAsia="zh-CN"/>
        </w:rPr>
        <w:t>师</w:t>
      </w:r>
      <w:r>
        <w:rPr>
          <w:rFonts w:hint="eastAsia"/>
        </w:rPr>
        <w:t>能力无感评价等级标志用于宣传时应使用客观表述，不得使用误导性表述；对外展示时，应严格以公示的等级标志为准，不得自行创设等级体系或将地方性、行业性的评级与本标准的公示等级混淆以及进行其他的虚假宣传行为。</w:t>
      </w:r>
    </w:p>
    <w:p>
      <w:pPr>
        <w:pStyle w:val="165"/>
      </w:pPr>
      <w:r>
        <w:rPr>
          <w:rFonts w:hint="eastAsia"/>
        </w:rPr>
        <w:t>在宣传中，不得使用“国家级”、“最高级”、“最佳”等绝对化用于来暗示评价等级的权威性或唯一性。</w:t>
      </w:r>
    </w:p>
    <w:p>
      <w:pPr>
        <w:pStyle w:val="165"/>
        <w:rPr>
          <w:rFonts w:hint="eastAsia"/>
        </w:rPr>
      </w:pPr>
      <w:r>
        <w:rPr>
          <w:rFonts w:hint="eastAsia"/>
        </w:rPr>
        <w:t>严禁将高等级评价与“包授权”、“高授权率”等服务结果承诺捆绑宣传。</w:t>
      </w:r>
    </w:p>
    <w:p>
      <w:pPr>
        <w:pStyle w:val="165"/>
        <w:rPr>
          <w:rFonts w:hint="eastAsia"/>
        </w:rPr>
      </w:pPr>
      <w:r>
        <w:rPr>
          <w:rFonts w:hint="eastAsia"/>
        </w:rPr>
        <w:t>不得利用自身较高的评价等级，进行与其他</w:t>
      </w:r>
      <w:r>
        <w:rPr>
          <w:rFonts w:hint="eastAsia"/>
          <w:lang w:eastAsia="zh-CN"/>
        </w:rPr>
        <w:t>从业人员</w:t>
      </w:r>
      <w:r>
        <w:rPr>
          <w:rFonts w:hint="eastAsia"/>
        </w:rPr>
        <w:t>的比较性宣传，或对其他</w:t>
      </w:r>
      <w:r>
        <w:rPr>
          <w:rFonts w:hint="eastAsia"/>
          <w:lang w:eastAsia="zh-CN"/>
        </w:rPr>
        <w:t>从业人员</w:t>
      </w:r>
      <w:r>
        <w:rPr>
          <w:rFonts w:hint="eastAsia"/>
        </w:rPr>
        <w:t>进行负面评价。</w:t>
      </w:r>
    </w:p>
    <w:p>
      <w:pPr>
        <w:pStyle w:val="105"/>
        <w:spacing w:before="120" w:after="120"/>
        <w:ind w:left="0" w:firstLine="0"/>
      </w:pPr>
      <w:bookmarkStart w:id="62" w:name="_Toc2099224348"/>
      <w:bookmarkStart w:id="63" w:name="_Toc823564701"/>
      <w:bookmarkStart w:id="64" w:name="_Toc746014719"/>
      <w:r>
        <w:rPr>
          <w:rFonts w:hint="eastAsia"/>
          <w:lang w:eastAsia="zh-CN"/>
        </w:rPr>
        <w:t>取消评级</w:t>
      </w:r>
      <w:bookmarkEnd w:id="62"/>
      <w:bookmarkEnd w:id="63"/>
      <w:bookmarkEnd w:id="64"/>
    </w:p>
    <w:p>
      <w:pPr>
        <w:pStyle w:val="165"/>
        <w:keepNext w:val="0"/>
        <w:keepLines w:val="0"/>
        <w:pageBreakBefore w:val="0"/>
        <w:widowControl w:val="0"/>
        <w:numPr>
          <w:ilvl w:val="3"/>
          <w:numId w:val="0"/>
        </w:numPr>
        <w:kinsoku/>
        <w:wordWrap/>
        <w:overflowPunct/>
        <w:topLinePunct w:val="0"/>
        <w:autoSpaceDE/>
        <w:autoSpaceDN/>
        <w:bidi w:val="0"/>
        <w:adjustRightInd/>
        <w:snapToGrid/>
        <w:spacing w:before="0" w:beforeLines="0" w:after="0" w:afterLines="0"/>
        <w:ind w:left="0" w:leftChars="0" w:firstLine="420" w:firstLineChars="200"/>
        <w:textAlignment w:val="auto"/>
      </w:pPr>
      <w:r>
        <w:t>当专利代理</w:t>
      </w:r>
      <w:r>
        <w:rPr>
          <w:rFonts w:hint="eastAsia"/>
          <w:lang w:eastAsia="zh-CN"/>
        </w:rPr>
        <w:t>师</w:t>
      </w:r>
      <w:r>
        <w:t>出现</w:t>
      </w:r>
      <w:r>
        <w:rPr>
          <w:rFonts w:hint="eastAsia"/>
          <w:lang w:eastAsia="zh-CN"/>
        </w:rPr>
        <w:t>不良执业行为</w:t>
      </w:r>
      <w:r>
        <w:t>时，会被取消评价等级标志</w:t>
      </w:r>
      <w:r>
        <w:rPr>
          <w:rFonts w:hint="eastAsia"/>
          <w:lang w:eastAsia="zh-CN"/>
        </w:rPr>
        <w:t>并进行行业公示，包括但不限于</w:t>
      </w:r>
      <w:r>
        <w:t>以下行为：</w:t>
      </w:r>
    </w:p>
    <w:p>
      <w:pPr>
        <w:pStyle w:val="109"/>
        <w:keepNext w:val="0"/>
        <w:keepLines w:val="0"/>
        <w:pageBreakBefore w:val="0"/>
        <w:numPr>
          <w:ilvl w:val="1"/>
          <w:numId w:val="0"/>
        </w:numPr>
        <w:kinsoku/>
        <w:wordWrap/>
        <w:overflowPunct/>
        <w:topLinePunct w:val="0"/>
        <w:autoSpaceDE/>
        <w:autoSpaceDN/>
        <w:bidi w:val="0"/>
        <w:adjustRightInd/>
        <w:snapToGrid/>
        <w:ind w:left="0" w:leftChars="0" w:firstLine="420" w:firstLineChars="200"/>
        <w:textAlignment w:val="auto"/>
      </w:pPr>
      <w:r>
        <w:rPr>
          <w:rFonts w:hint="eastAsia"/>
          <w:lang w:eastAsia="zh-CN"/>
        </w:rPr>
        <w:t>（</w:t>
      </w:r>
      <w:r>
        <w:rPr>
          <w:rFonts w:hint="eastAsia"/>
          <w:lang w:val="en-US" w:eastAsia="zh-CN"/>
        </w:rPr>
        <w:t>1</w:t>
      </w:r>
      <w:r>
        <w:rPr>
          <w:rFonts w:hint="eastAsia"/>
          <w:lang w:eastAsia="zh-CN"/>
        </w:rPr>
        <w:t>）</w:t>
      </w:r>
      <w:r>
        <w:rPr>
          <w:rFonts w:hint="eastAsia"/>
        </w:rPr>
        <w:t>不规范执业行为：如自行接受委托办理专利代理业务、同时在两个以上专利代理机构执业、未按规定进行备案等；</w:t>
      </w:r>
    </w:p>
    <w:p>
      <w:pPr>
        <w:pStyle w:val="109"/>
        <w:keepNext w:val="0"/>
        <w:keepLines w:val="0"/>
        <w:pageBreakBefore w:val="0"/>
        <w:numPr>
          <w:ilvl w:val="1"/>
          <w:numId w:val="0"/>
        </w:numPr>
        <w:kinsoku/>
        <w:wordWrap/>
        <w:overflowPunct/>
        <w:topLinePunct w:val="0"/>
        <w:autoSpaceDE/>
        <w:autoSpaceDN/>
        <w:bidi w:val="0"/>
        <w:adjustRightInd/>
        <w:snapToGrid/>
        <w:ind w:left="0" w:leftChars="0" w:firstLine="420" w:firstLineChars="200"/>
        <w:textAlignment w:val="auto"/>
      </w:pPr>
      <w:r>
        <w:rPr>
          <w:rFonts w:hint="eastAsia"/>
        </w:rPr>
        <w:t>（</w:t>
      </w:r>
      <w:r>
        <w:rPr>
          <w:rFonts w:hint="eastAsia"/>
          <w:lang w:val="en-US" w:eastAsia="zh-CN"/>
        </w:rPr>
        <w:t>2</w:t>
      </w:r>
      <w:r>
        <w:rPr>
          <w:rFonts w:hint="eastAsia"/>
        </w:rPr>
        <w:t>）执业违规行为：如泄露委托人的发明创造内容、违反规定代理自己审查或处理过的案件、以自己名义申请专利等；</w:t>
      </w:r>
    </w:p>
    <w:p>
      <w:pPr>
        <w:pStyle w:val="109"/>
        <w:keepNext w:val="0"/>
        <w:keepLines w:val="0"/>
        <w:pageBreakBefore w:val="0"/>
        <w:numPr>
          <w:ilvl w:val="1"/>
          <w:numId w:val="0"/>
        </w:numPr>
        <w:kinsoku/>
        <w:wordWrap/>
        <w:overflowPunct/>
        <w:topLinePunct w:val="0"/>
        <w:autoSpaceDE/>
        <w:autoSpaceDN/>
        <w:bidi w:val="0"/>
        <w:adjustRightInd/>
        <w:snapToGrid/>
        <w:ind w:left="0" w:leftChars="0" w:firstLine="420" w:firstLineChars="200"/>
        <w:textAlignment w:val="auto"/>
      </w:pPr>
      <w:r>
        <w:rPr>
          <w:rFonts w:hint="eastAsia"/>
        </w:rPr>
        <w:t>（</w:t>
      </w:r>
      <w:r>
        <w:rPr>
          <w:rFonts w:hint="eastAsia"/>
          <w:lang w:val="en-US" w:eastAsia="zh-CN"/>
        </w:rPr>
        <w:t>3</w:t>
      </w:r>
      <w:r>
        <w:rPr>
          <w:rFonts w:hint="eastAsia"/>
        </w:rPr>
        <w:t>）行政或刑事处罚：受到行政处罚或刑事处罚；</w:t>
      </w:r>
    </w:p>
    <w:p>
      <w:pPr>
        <w:pStyle w:val="109"/>
        <w:keepNext w:val="0"/>
        <w:keepLines w:val="0"/>
        <w:pageBreakBefore w:val="0"/>
        <w:numPr>
          <w:ilvl w:val="1"/>
          <w:numId w:val="0"/>
        </w:numPr>
        <w:kinsoku/>
        <w:wordWrap/>
        <w:overflowPunct/>
        <w:topLinePunct w:val="0"/>
        <w:autoSpaceDE/>
        <w:autoSpaceDN/>
        <w:bidi w:val="0"/>
        <w:adjustRightInd/>
        <w:snapToGrid/>
        <w:ind w:left="0" w:leftChars="0" w:firstLine="420" w:firstLineChars="200"/>
        <w:textAlignment w:val="auto"/>
        <w:rPr>
          <w:rFonts w:hint="eastAsia"/>
          <w:lang w:eastAsia="zh-CN"/>
        </w:rPr>
      </w:pPr>
      <w:r>
        <w:rPr>
          <w:rFonts w:hint="eastAsia"/>
        </w:rPr>
        <w:t>（</w:t>
      </w:r>
      <w:r>
        <w:rPr>
          <w:rFonts w:hint="eastAsia"/>
          <w:lang w:val="en-US" w:eastAsia="zh-CN"/>
        </w:rPr>
        <w:t>4</w:t>
      </w:r>
      <w:r>
        <w:rPr>
          <w:rFonts w:hint="eastAsia"/>
        </w:rPr>
        <w:t>）行业惩戒：受到中华全国专利代理师协会的行业纪律处分</w:t>
      </w:r>
      <w:r>
        <w:rPr>
          <w:rFonts w:hint="eastAsia"/>
          <w:lang w:eastAsia="zh-CN"/>
        </w:rPr>
        <w:t>；</w:t>
      </w:r>
    </w:p>
    <w:p>
      <w:pPr>
        <w:pStyle w:val="109"/>
        <w:keepNext w:val="0"/>
        <w:keepLines w:val="0"/>
        <w:pageBreakBefore w:val="0"/>
        <w:numPr>
          <w:ilvl w:val="1"/>
          <w:numId w:val="0"/>
        </w:numPr>
        <w:kinsoku/>
        <w:wordWrap/>
        <w:overflowPunct/>
        <w:topLinePunct w:val="0"/>
        <w:autoSpaceDE/>
        <w:autoSpaceDN/>
        <w:bidi w:val="0"/>
        <w:adjustRightInd/>
        <w:snapToGrid/>
        <w:ind w:left="0" w:leftChars="0" w:firstLine="420" w:firstLineChars="200"/>
        <w:textAlignment w:val="auto"/>
        <w:rPr>
          <w:rFonts w:hint="eastAsia"/>
          <w:lang w:eastAsia="zh-CN"/>
        </w:rPr>
        <w:sectPr>
          <w:pgSz w:w="11906" w:h="16838"/>
          <w:pgMar w:top="1928" w:right="1134" w:bottom="1134" w:left="1134" w:header="1418" w:footer="1134" w:gutter="284"/>
          <w:pgBorders>
            <w:top w:val="none" w:sz="0" w:space="0"/>
            <w:left w:val="none" w:sz="0" w:space="0"/>
            <w:bottom w:val="none" w:sz="0" w:space="0"/>
            <w:right w:val="none" w:sz="0" w:space="0"/>
          </w:pgBorders>
          <w:cols w:space="425" w:num="1"/>
          <w:formProt w:val="0"/>
          <w:docGrid w:linePitch="312" w:charSpace="0"/>
        </w:sectPr>
      </w:pPr>
      <w:r>
        <w:rPr>
          <w:rFonts w:hint="eastAsia"/>
          <w:lang w:eastAsia="zh-CN"/>
        </w:rPr>
        <w:t>（5）其他严重不良执业行为。</w:t>
      </w:r>
    </w:p>
    <w:bookmarkEnd w:id="23"/>
    <w:p>
      <w:pPr>
        <w:pStyle w:val="198"/>
        <w:rPr>
          <w:rFonts w:hint="eastAsia"/>
        </w:rPr>
      </w:pPr>
      <w:bookmarkStart w:id="65" w:name="BookMark5"/>
    </w:p>
    <w:p>
      <w:pPr>
        <w:pStyle w:val="199"/>
      </w:pPr>
    </w:p>
    <w:p>
      <w:pPr>
        <w:pStyle w:val="76"/>
        <w:spacing w:after="120"/>
      </w:pPr>
      <w:bookmarkStart w:id="66" w:name="_Toc1848274362"/>
      <w:r>
        <w:br w:type="textWrapping"/>
      </w:r>
      <w:r>
        <w:rPr>
          <w:rFonts w:hint="eastAsia"/>
        </w:rPr>
        <w:t>（规范性）</w:t>
      </w:r>
      <w:r>
        <w:br w:type="textWrapping"/>
      </w:r>
      <w:r>
        <w:rPr>
          <w:rFonts w:hint="eastAsia"/>
        </w:rPr>
        <w:t>专利代理师能力无感评价分值计算方法表</w:t>
      </w:r>
      <w:bookmarkEnd w:id="66"/>
    </w:p>
    <w:tbl>
      <w:tblPr>
        <w:tblStyle w:val="230"/>
        <w:tblW w:w="819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277"/>
        <w:gridCol w:w="4959"/>
        <w:gridCol w:w="87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88" w:type="dxa"/>
            <w:vAlign w:val="center"/>
          </w:tcPr>
          <w:p>
            <w:pPr>
              <w:adjustRightInd/>
              <w:spacing w:line="240" w:lineRule="auto"/>
              <w:jc w:val="center"/>
              <w:rPr>
                <w:rFonts w:hint="eastAsia" w:ascii="宋体" w:hAnsi="宋体" w:cs="宋体"/>
              </w:rPr>
            </w:pPr>
            <w:r>
              <w:rPr>
                <w:rFonts w:ascii="宋体" w:hAnsi="宋体" w:cs="宋体"/>
              </w:rPr>
              <w:t>一级指标</w:t>
            </w:r>
          </w:p>
        </w:tc>
        <w:tc>
          <w:tcPr>
            <w:tcW w:w="1277" w:type="dxa"/>
            <w:vAlign w:val="center"/>
          </w:tcPr>
          <w:p>
            <w:pPr>
              <w:adjustRightInd/>
              <w:spacing w:line="240" w:lineRule="auto"/>
              <w:jc w:val="center"/>
              <w:rPr>
                <w:rFonts w:hint="eastAsia" w:ascii="宋体" w:hAnsi="宋体" w:cs="宋体"/>
              </w:rPr>
            </w:pPr>
            <w:r>
              <w:rPr>
                <w:rFonts w:ascii="宋体" w:hAnsi="宋体" w:cs="宋体"/>
              </w:rPr>
              <w:t>二级指标</w:t>
            </w:r>
          </w:p>
        </w:tc>
        <w:tc>
          <w:tcPr>
            <w:tcW w:w="4959" w:type="dxa"/>
            <w:vAlign w:val="center"/>
          </w:tcPr>
          <w:p>
            <w:pPr>
              <w:adjustRightInd/>
              <w:spacing w:line="240" w:lineRule="auto"/>
              <w:jc w:val="center"/>
              <w:rPr>
                <w:rFonts w:hint="eastAsia" w:ascii="宋体" w:hAnsi="宋体" w:cs="宋体"/>
              </w:rPr>
            </w:pPr>
            <w:r>
              <w:rPr>
                <w:rFonts w:ascii="宋体" w:hAnsi="宋体" w:cs="宋体"/>
              </w:rPr>
              <w:t>指标详情</w:t>
            </w:r>
          </w:p>
        </w:tc>
        <w:tc>
          <w:tcPr>
            <w:tcW w:w="874" w:type="dxa"/>
            <w:vAlign w:val="center"/>
          </w:tcPr>
          <w:p>
            <w:pPr>
              <w:adjustRightInd/>
              <w:spacing w:line="240" w:lineRule="auto"/>
              <w:jc w:val="center"/>
              <w:rPr>
                <w:rFonts w:hint="eastAsia" w:ascii="宋体" w:hAnsi="宋体" w:cs="宋体"/>
              </w:rPr>
            </w:pPr>
            <w:r>
              <w:rPr>
                <w:rFonts w:ascii="宋体" w:hAnsi="宋体" w:cs="宋体"/>
              </w:rPr>
              <w:t>权重W</w:t>
            </w:r>
            <w:r>
              <w:rPr>
                <w:rFonts w:ascii="宋体" w:hAnsi="宋体" w:cs="宋体"/>
                <w:vertAlign w:val="subscript"/>
              </w:rPr>
              <w:t>i</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88" w:type="dxa"/>
            <w:vMerge w:val="restart"/>
            <w:vAlign w:val="center"/>
          </w:tcPr>
          <w:p>
            <w:pPr>
              <w:adjustRightInd/>
              <w:spacing w:line="240" w:lineRule="auto"/>
              <w:jc w:val="center"/>
              <w:rPr>
                <w:rFonts w:ascii="宋体" w:hAnsi="宋体" w:cs="宋体"/>
              </w:rPr>
            </w:pPr>
            <w:r>
              <w:rPr>
                <w:rFonts w:ascii="宋体" w:hAnsi="宋体" w:cs="宋体"/>
              </w:rPr>
              <w:t>执业</w:t>
            </w:r>
          </w:p>
          <w:p>
            <w:pPr>
              <w:adjustRightInd/>
              <w:spacing w:line="240" w:lineRule="auto"/>
              <w:jc w:val="center"/>
              <w:rPr>
                <w:rFonts w:hint="eastAsia" w:ascii="宋体" w:hAnsi="宋体" w:cs="宋体"/>
              </w:rPr>
            </w:pPr>
            <w:r>
              <w:rPr>
                <w:rFonts w:ascii="宋体" w:hAnsi="宋体" w:cs="宋体"/>
              </w:rPr>
              <w:t>能力A</w:t>
            </w:r>
          </w:p>
        </w:tc>
        <w:tc>
          <w:tcPr>
            <w:tcW w:w="1277" w:type="dxa"/>
            <w:vAlign w:val="center"/>
          </w:tcPr>
          <w:p>
            <w:pPr>
              <w:adjustRightInd/>
              <w:spacing w:line="240" w:lineRule="auto"/>
              <w:jc w:val="center"/>
              <w:rPr>
                <w:rFonts w:hint="eastAsia" w:ascii="宋体" w:hAnsi="宋体" w:eastAsia="宋体" w:cs="宋体"/>
                <w:lang w:eastAsia="zh-CN"/>
              </w:rPr>
            </w:pPr>
            <w:r>
              <w:rPr>
                <w:rFonts w:hint="eastAsia" w:ascii="宋体" w:hAnsi="宋体" w:cs="宋体"/>
              </w:rPr>
              <w:t>代理发明专利申请量A</w:t>
            </w:r>
            <w:r>
              <w:rPr>
                <w:rFonts w:hint="eastAsia" w:ascii="宋体" w:hAnsi="宋体" w:cs="宋体"/>
                <w:lang w:val="en-US" w:eastAsia="zh-CN"/>
              </w:rPr>
              <w:t>1</w:t>
            </w:r>
          </w:p>
        </w:tc>
        <w:tc>
          <w:tcPr>
            <w:tcW w:w="4959" w:type="dxa"/>
            <w:vAlign w:val="center"/>
          </w:tcPr>
          <w:p>
            <w:pPr>
              <w:adjustRightInd/>
              <w:spacing w:line="240" w:lineRule="auto"/>
              <w:jc w:val="left"/>
              <w:rPr>
                <w:rFonts w:hint="eastAsia" w:ascii="宋体" w:hAnsi="宋体" w:cs="宋体"/>
              </w:rPr>
            </w:pPr>
            <w:r>
              <w:rPr>
                <w:rFonts w:hint="eastAsia" w:ascii="宋体" w:hAnsi="宋体" w:cs="宋体"/>
              </w:rPr>
              <w:t>指标说明：由专利代理师向中国国家知识产权局提交的发明专利申请的数量（专利文献种类标识代码A）。</w:t>
            </w:r>
          </w:p>
          <w:p>
            <w:pPr>
              <w:adjustRightInd/>
              <w:spacing w:line="240" w:lineRule="auto"/>
              <w:jc w:val="left"/>
              <w:rPr>
                <w:rFonts w:hint="eastAsia" w:ascii="宋体" w:hAnsi="宋体" w:cs="宋体"/>
              </w:rPr>
            </w:pPr>
            <w:r>
              <w:rPr>
                <w:rFonts w:hint="eastAsia" w:ascii="宋体" w:hAnsi="宋体" w:cs="宋体"/>
              </w:rPr>
              <w:t>数值选取：取近</w:t>
            </w:r>
            <w:r>
              <w:rPr>
                <w:rFonts w:hint="eastAsia" w:ascii="宋体" w:hAnsi="宋体" w:cs="宋体"/>
                <w:lang w:eastAsia="zh-CN"/>
              </w:rPr>
              <w:t>三</w:t>
            </w:r>
            <w:r>
              <w:rPr>
                <w:rFonts w:hint="eastAsia" w:ascii="宋体" w:hAnsi="宋体" w:cs="宋体"/>
              </w:rPr>
              <w:t>年公开的发明专利申请量。</w:t>
            </w:r>
          </w:p>
          <w:p>
            <w:pPr>
              <w:adjustRightInd/>
              <w:spacing w:line="240" w:lineRule="auto"/>
              <w:jc w:val="left"/>
              <w:rPr>
                <w:rFonts w:ascii="宋体" w:hAnsi="宋体" w:cs="宋体"/>
              </w:rPr>
            </w:pPr>
            <w:r>
              <w:rPr>
                <w:rFonts w:hint="eastAsia" w:ascii="宋体" w:hAnsi="宋体" w:cs="宋体"/>
              </w:rPr>
              <w:t>信息来源：国家知识产权局。</w:t>
            </w:r>
          </w:p>
        </w:tc>
        <w:tc>
          <w:tcPr>
            <w:tcW w:w="874" w:type="dxa"/>
            <w:vMerge w:val="restart"/>
            <w:vAlign w:val="center"/>
          </w:tcPr>
          <w:p>
            <w:pPr>
              <w:adjustRightInd/>
              <w:spacing w:line="240" w:lineRule="auto"/>
              <w:jc w:val="center"/>
              <w:rPr>
                <w:rFonts w:hint="eastAsia" w:ascii="宋体" w:hAnsi="宋体" w:cs="宋体"/>
              </w:rPr>
            </w:pPr>
            <w:r>
              <w:rPr>
                <w:rFonts w:ascii="宋体" w:hAnsi="宋体" w:cs="宋体"/>
              </w:rPr>
              <w:t>权重每年修改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45" w:hRule="atLeast"/>
          <w:jc w:val="center"/>
        </w:trPr>
        <w:tc>
          <w:tcPr>
            <w:tcW w:w="1088" w:type="dxa"/>
            <w:vMerge w:val="continue"/>
            <w:vAlign w:val="center"/>
          </w:tcPr>
          <w:p>
            <w:pPr>
              <w:adjustRightInd/>
              <w:spacing w:line="240" w:lineRule="auto"/>
              <w:jc w:val="center"/>
              <w:rPr>
                <w:rFonts w:hint="eastAsia" w:ascii="宋体" w:hAnsi="宋体" w:cs="宋体"/>
              </w:rPr>
            </w:pPr>
          </w:p>
        </w:tc>
        <w:tc>
          <w:tcPr>
            <w:tcW w:w="1277" w:type="dxa"/>
            <w:vAlign w:val="center"/>
          </w:tcPr>
          <w:p>
            <w:pPr>
              <w:adjustRightInd/>
              <w:spacing w:line="240" w:lineRule="auto"/>
              <w:jc w:val="center"/>
              <w:rPr>
                <w:rFonts w:hint="eastAsia" w:ascii="宋体" w:hAnsi="宋体" w:eastAsia="宋体" w:cs="宋体"/>
                <w:lang w:eastAsia="zh-CN"/>
              </w:rPr>
            </w:pPr>
            <w:r>
              <w:rPr>
                <w:rFonts w:ascii="宋体" w:hAnsi="宋体" w:cs="宋体"/>
              </w:rPr>
              <w:t>海外发明专利申请量A</w:t>
            </w:r>
            <w:r>
              <w:rPr>
                <w:rFonts w:hint="eastAsia" w:ascii="宋体" w:hAnsi="宋体" w:cs="宋体"/>
                <w:lang w:val="en-US" w:eastAsia="zh-CN"/>
              </w:rPr>
              <w:t>2</w:t>
            </w:r>
          </w:p>
        </w:tc>
        <w:tc>
          <w:tcPr>
            <w:tcW w:w="4959" w:type="dxa"/>
            <w:vAlign w:val="center"/>
          </w:tcPr>
          <w:p>
            <w:pPr>
              <w:adjustRightInd/>
              <w:spacing w:line="240" w:lineRule="auto"/>
              <w:jc w:val="left"/>
              <w:rPr>
                <w:rFonts w:hint="eastAsia" w:ascii="宋体" w:hAnsi="宋体" w:cs="宋体"/>
              </w:rPr>
            </w:pPr>
            <w:r>
              <w:rPr>
                <w:rFonts w:ascii="宋体" w:hAnsi="宋体" w:cs="宋体"/>
              </w:rPr>
              <w:t>指标说明：</w:t>
            </w:r>
            <w:r>
              <w:rPr>
                <w:rFonts w:hint="eastAsia" w:ascii="宋体" w:hAnsi="宋体" w:cs="宋体"/>
              </w:rPr>
              <w:t>海外发明专利是指由专利代理</w:t>
            </w:r>
            <w:r>
              <w:rPr>
                <w:rFonts w:hint="eastAsia" w:ascii="宋体" w:hAnsi="宋体" w:cs="宋体"/>
                <w:lang w:eastAsia="zh-CN"/>
              </w:rPr>
              <w:t>师</w:t>
            </w:r>
            <w:r>
              <w:rPr>
                <w:rFonts w:hint="eastAsia" w:ascii="宋体" w:hAnsi="宋体" w:cs="宋体"/>
              </w:rPr>
              <w:t>向中国国家知识产权局之外</w:t>
            </w:r>
            <w:r>
              <w:rPr>
                <w:rFonts w:hint="eastAsia" w:ascii="宋体" w:hAnsi="宋体" w:cs="宋体"/>
                <w:lang w:eastAsia="zh-CN"/>
              </w:rPr>
              <w:t>具备</w:t>
            </w:r>
            <w:r>
              <w:rPr>
                <w:rFonts w:hint="eastAsia" w:ascii="宋体" w:hAnsi="宋体" w:cs="宋体"/>
              </w:rPr>
              <w:t>独立实质审查能力和资质的目标国家或地区的专利局或专利主管机构提交的发明专利申请。</w:t>
            </w:r>
          </w:p>
          <w:p>
            <w:pPr>
              <w:adjustRightInd/>
              <w:spacing w:line="240" w:lineRule="auto"/>
              <w:jc w:val="left"/>
              <w:rPr>
                <w:rFonts w:hint="eastAsia" w:ascii="宋体" w:hAnsi="宋体" w:eastAsia="宋体" w:cs="宋体"/>
                <w:lang w:eastAsia="zh-CN"/>
              </w:rPr>
            </w:pPr>
            <w:r>
              <w:rPr>
                <w:rFonts w:ascii="宋体" w:hAnsi="宋体" w:cs="宋体"/>
              </w:rPr>
              <w:t>数值选取：</w:t>
            </w:r>
            <w:r>
              <w:rPr>
                <w:rFonts w:hint="eastAsia" w:ascii="宋体" w:hAnsi="宋体" w:cs="宋体"/>
              </w:rPr>
              <w:t>近</w:t>
            </w:r>
            <w:r>
              <w:rPr>
                <w:rFonts w:hint="eastAsia" w:ascii="宋体" w:hAnsi="宋体" w:cs="宋体"/>
                <w:lang w:eastAsia="zh-CN"/>
              </w:rPr>
              <w:t>三</w:t>
            </w:r>
            <w:r>
              <w:rPr>
                <w:rFonts w:hint="eastAsia" w:ascii="宋体" w:hAnsi="宋体" w:cs="宋体"/>
              </w:rPr>
              <w:t>年代理的具有海外发明专利的中国同族发明专利申请数量</w:t>
            </w:r>
            <w:r>
              <w:rPr>
                <w:rFonts w:hint="eastAsia" w:ascii="宋体" w:hAnsi="宋体" w:cs="宋体"/>
                <w:lang w:eastAsia="zh-CN"/>
              </w:rPr>
              <w:t>。</w:t>
            </w:r>
          </w:p>
          <w:p>
            <w:pPr>
              <w:adjustRightInd/>
              <w:spacing w:line="240" w:lineRule="auto"/>
              <w:jc w:val="left"/>
              <w:rPr>
                <w:rFonts w:hint="eastAsia" w:ascii="宋体" w:hAnsi="宋体" w:cs="宋体"/>
              </w:rPr>
            </w:pPr>
            <w:r>
              <w:rPr>
                <w:rFonts w:ascii="宋体" w:hAnsi="宋体" w:cs="宋体"/>
              </w:rPr>
              <w:t>信息来源：国家知识产权局。</w:t>
            </w:r>
          </w:p>
        </w:tc>
        <w:tc>
          <w:tcPr>
            <w:tcW w:w="874" w:type="dxa"/>
            <w:vMerge w:val="continue"/>
            <w:vAlign w:val="center"/>
          </w:tcPr>
          <w:p>
            <w:pPr>
              <w:adjustRightInd/>
              <w:spacing w:line="240" w:lineRule="auto"/>
              <w:jc w:val="center"/>
              <w:rPr>
                <w:rFonts w:hint="eastAsia" w:ascii="宋体" w:hAnsi="宋体" w:cs="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88" w:type="dxa"/>
            <w:vMerge w:val="continue"/>
            <w:vAlign w:val="center"/>
          </w:tcPr>
          <w:p>
            <w:pPr>
              <w:adjustRightInd/>
              <w:spacing w:line="240" w:lineRule="auto"/>
              <w:rPr>
                <w:rFonts w:hint="eastAsia" w:ascii="宋体" w:hAnsi="宋体" w:cs="宋体"/>
              </w:rPr>
            </w:pPr>
          </w:p>
        </w:tc>
        <w:tc>
          <w:tcPr>
            <w:tcW w:w="1277" w:type="dxa"/>
            <w:vAlign w:val="center"/>
          </w:tcPr>
          <w:p>
            <w:pPr>
              <w:adjustRightInd/>
              <w:spacing w:line="240" w:lineRule="auto"/>
              <w:jc w:val="center"/>
              <w:rPr>
                <w:rFonts w:hint="eastAsia" w:ascii="宋体" w:hAnsi="宋体" w:cs="宋体"/>
              </w:rPr>
            </w:pPr>
            <w:r>
              <w:rPr>
                <w:rFonts w:ascii="宋体" w:hAnsi="宋体" w:cs="宋体"/>
              </w:rPr>
              <w:t>发明专利申请领域聚类度A3</w:t>
            </w:r>
          </w:p>
        </w:tc>
        <w:tc>
          <w:tcPr>
            <w:tcW w:w="4959" w:type="dxa"/>
            <w:vAlign w:val="center"/>
          </w:tcPr>
          <w:p>
            <w:pPr>
              <w:adjustRightInd/>
              <w:spacing w:line="240" w:lineRule="auto"/>
              <w:jc w:val="left"/>
              <w:rPr>
                <w:rFonts w:hint="eastAsia" w:ascii="宋体" w:hAnsi="宋体" w:cs="宋体"/>
              </w:rPr>
            </w:pPr>
            <w:r>
              <w:rPr>
                <w:rFonts w:ascii="宋体" w:hAnsi="宋体" w:cs="宋体"/>
              </w:rPr>
              <w:t>指标说明：</w:t>
            </w:r>
            <w:r>
              <w:rPr>
                <w:rFonts w:hint="eastAsia" w:ascii="宋体" w:hAnsi="宋体" w:cs="宋体"/>
              </w:rPr>
              <w:t>聚类案件量是指专利代理</w:t>
            </w:r>
            <w:r>
              <w:rPr>
                <w:rFonts w:hint="eastAsia" w:ascii="宋体" w:hAnsi="宋体" w:cs="宋体"/>
                <w:lang w:eastAsia="zh-CN"/>
              </w:rPr>
              <w:t>师</w:t>
            </w:r>
            <w:r>
              <w:rPr>
                <w:rFonts w:hint="eastAsia" w:ascii="宋体" w:hAnsi="宋体" w:cs="宋体"/>
              </w:rPr>
              <w:t>向中国国家知识产权局提交的发明专利申请中，数量第一的主分类号（精确到IPC分类号小类）所属的申请量。</w:t>
            </w:r>
          </w:p>
          <w:p>
            <w:pPr>
              <w:adjustRightInd/>
              <w:spacing w:line="240" w:lineRule="auto"/>
              <w:jc w:val="left"/>
              <w:rPr>
                <w:rFonts w:hint="eastAsia" w:ascii="宋体" w:hAnsi="宋体" w:eastAsia="宋体" w:cs="宋体"/>
                <w:lang w:eastAsia="zh-CN"/>
              </w:rPr>
            </w:pPr>
            <w:r>
              <w:rPr>
                <w:rFonts w:ascii="宋体" w:hAnsi="宋体" w:cs="宋体"/>
              </w:rPr>
              <w:t>数值选取：</w:t>
            </w:r>
            <w:r>
              <w:rPr>
                <w:rFonts w:hint="eastAsia" w:ascii="宋体" w:hAnsi="宋体" w:cs="宋体"/>
                <w:lang w:eastAsia="zh-CN"/>
              </w:rPr>
              <w:t>近三</w:t>
            </w:r>
            <w:r>
              <w:rPr>
                <w:rFonts w:hint="eastAsia" w:ascii="宋体" w:hAnsi="宋体" w:cs="宋体"/>
                <w:lang w:val="en-US" w:eastAsia="zh-CN"/>
              </w:rPr>
              <w:t>年</w:t>
            </w:r>
            <w:r>
              <w:rPr>
                <w:rFonts w:hint="eastAsia" w:ascii="宋体" w:hAnsi="宋体" w:cs="宋体"/>
              </w:rPr>
              <w:t>聚类案件量</w:t>
            </w:r>
            <w:r>
              <w:rPr>
                <w:rFonts w:hint="eastAsia" w:ascii="宋体" w:hAnsi="宋体" w:cs="宋体"/>
                <w:lang w:eastAsia="zh-CN"/>
              </w:rPr>
              <w:t>。</w:t>
            </w:r>
          </w:p>
          <w:p>
            <w:pPr>
              <w:adjustRightInd/>
              <w:spacing w:line="240" w:lineRule="auto"/>
              <w:jc w:val="left"/>
              <w:rPr>
                <w:rFonts w:hint="eastAsia" w:ascii="宋体" w:hAnsi="宋体" w:cs="宋体"/>
              </w:rPr>
            </w:pPr>
            <w:r>
              <w:rPr>
                <w:rFonts w:ascii="宋体" w:hAnsi="宋体" w:cs="宋体"/>
              </w:rPr>
              <w:t>信息来源：国家知识产权局。</w:t>
            </w:r>
          </w:p>
        </w:tc>
        <w:tc>
          <w:tcPr>
            <w:tcW w:w="874" w:type="dxa"/>
            <w:vMerge w:val="continue"/>
            <w:vAlign w:val="center"/>
          </w:tcPr>
          <w:p>
            <w:pPr>
              <w:adjustRightInd/>
              <w:spacing w:line="240" w:lineRule="auto"/>
              <w:jc w:val="center"/>
              <w:rPr>
                <w:rFonts w:hint="eastAsia" w:ascii="宋体" w:hAnsi="宋体" w:cs="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88" w:type="dxa"/>
            <w:vMerge w:val="restart"/>
            <w:vAlign w:val="center"/>
          </w:tcPr>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r>
              <w:rPr>
                <w:rFonts w:ascii="宋体" w:hAnsi="宋体" w:cs="宋体"/>
              </w:rPr>
              <w:t>专利布局能力B</w:t>
            </w:r>
          </w:p>
        </w:tc>
        <w:tc>
          <w:tcPr>
            <w:tcW w:w="1277" w:type="dxa"/>
            <w:vAlign w:val="center"/>
          </w:tcPr>
          <w:p>
            <w:pPr>
              <w:adjustRightInd/>
              <w:spacing w:line="240" w:lineRule="auto"/>
              <w:jc w:val="center"/>
              <w:rPr>
                <w:rFonts w:hint="eastAsia" w:ascii="宋体" w:hAnsi="宋体" w:cs="宋体"/>
              </w:rPr>
            </w:pPr>
            <w:r>
              <w:rPr>
                <w:rFonts w:ascii="宋体" w:hAnsi="宋体" w:cs="宋体"/>
              </w:rPr>
              <w:t>独立权利</w:t>
            </w:r>
          </w:p>
          <w:p>
            <w:pPr>
              <w:adjustRightInd/>
              <w:spacing w:line="240" w:lineRule="auto"/>
              <w:jc w:val="center"/>
              <w:rPr>
                <w:rFonts w:hint="eastAsia" w:ascii="宋体" w:hAnsi="宋体" w:cs="宋体"/>
              </w:rPr>
            </w:pPr>
            <w:r>
              <w:rPr>
                <w:rFonts w:ascii="宋体" w:hAnsi="宋体" w:cs="宋体"/>
              </w:rPr>
              <w:t>要求数量B1</w:t>
            </w:r>
          </w:p>
        </w:tc>
        <w:tc>
          <w:tcPr>
            <w:tcW w:w="4959" w:type="dxa"/>
            <w:vAlign w:val="center"/>
          </w:tcPr>
          <w:p>
            <w:pPr>
              <w:adjustRightInd/>
              <w:spacing w:line="240" w:lineRule="auto"/>
              <w:jc w:val="left"/>
              <w:rPr>
                <w:rFonts w:hint="eastAsia" w:ascii="宋体" w:hAnsi="宋体" w:cs="宋体"/>
              </w:rPr>
            </w:pPr>
            <w:r>
              <w:rPr>
                <w:rFonts w:ascii="宋体" w:hAnsi="宋体" w:cs="宋体"/>
              </w:rPr>
              <w:t>指标说明：独立权利要求为从整体上反映发明的技术方案，记载为达到发明目的所需的所有必要技术特征。</w:t>
            </w:r>
          </w:p>
          <w:p>
            <w:pPr>
              <w:adjustRightInd/>
              <w:spacing w:line="240" w:lineRule="auto"/>
              <w:jc w:val="left"/>
              <w:rPr>
                <w:rFonts w:hint="eastAsia" w:ascii="宋体" w:hAnsi="宋体" w:cs="宋体"/>
              </w:rPr>
            </w:pPr>
            <w:r>
              <w:rPr>
                <w:rFonts w:ascii="宋体" w:hAnsi="宋体" w:cs="宋体"/>
              </w:rPr>
              <w:t>数值选取：取近</w:t>
            </w:r>
            <w:r>
              <w:rPr>
                <w:rFonts w:hint="eastAsia" w:ascii="宋体" w:hAnsi="宋体" w:cs="宋体"/>
                <w:lang w:eastAsia="zh-CN"/>
              </w:rPr>
              <w:t>三</w:t>
            </w:r>
            <w:r>
              <w:rPr>
                <w:rFonts w:ascii="宋体" w:hAnsi="宋体" w:cs="宋体"/>
              </w:rPr>
              <w:t>年</w:t>
            </w:r>
            <w:r>
              <w:rPr>
                <w:rFonts w:hint="eastAsia" w:ascii="宋体" w:hAnsi="宋体" w:cs="宋体"/>
                <w:lang w:eastAsia="zh-CN"/>
              </w:rPr>
              <w:t>公告授权</w:t>
            </w:r>
            <w:r>
              <w:rPr>
                <w:rFonts w:ascii="宋体" w:hAnsi="宋体" w:cs="宋体"/>
              </w:rPr>
              <w:t>发明专利的独立权利要求项数的均值。</w:t>
            </w:r>
          </w:p>
          <w:p>
            <w:pPr>
              <w:adjustRightInd/>
              <w:spacing w:line="240" w:lineRule="auto"/>
              <w:jc w:val="left"/>
              <w:rPr>
                <w:rFonts w:hint="eastAsia" w:ascii="宋体" w:hAnsi="宋体" w:cs="宋体"/>
              </w:rPr>
            </w:pPr>
            <w:r>
              <w:rPr>
                <w:rFonts w:ascii="宋体" w:hAnsi="宋体" w:cs="宋体"/>
              </w:rPr>
              <w:t>信息来源：国家知识产权局。</w:t>
            </w:r>
          </w:p>
        </w:tc>
        <w:tc>
          <w:tcPr>
            <w:tcW w:w="874" w:type="dxa"/>
            <w:vMerge w:val="continue"/>
            <w:vAlign w:val="center"/>
          </w:tcPr>
          <w:p>
            <w:pPr>
              <w:adjustRightInd/>
              <w:spacing w:line="240" w:lineRule="auto"/>
              <w:jc w:val="center"/>
              <w:rPr>
                <w:rFonts w:hint="eastAsia" w:ascii="宋体" w:hAnsi="宋体" w:cs="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88" w:type="dxa"/>
            <w:vMerge w:val="continue"/>
            <w:vAlign w:val="center"/>
          </w:tcPr>
          <w:p>
            <w:pPr>
              <w:adjustRightInd/>
              <w:spacing w:line="240" w:lineRule="auto"/>
              <w:jc w:val="center"/>
              <w:rPr>
                <w:rFonts w:hint="eastAsia" w:ascii="宋体" w:hAnsi="宋体" w:cs="宋体"/>
              </w:rPr>
            </w:pPr>
          </w:p>
        </w:tc>
        <w:tc>
          <w:tcPr>
            <w:tcW w:w="1277" w:type="dxa"/>
            <w:vAlign w:val="center"/>
          </w:tcPr>
          <w:p>
            <w:pPr>
              <w:adjustRightInd/>
              <w:spacing w:line="240" w:lineRule="auto"/>
              <w:jc w:val="center"/>
              <w:rPr>
                <w:rFonts w:hint="eastAsia" w:ascii="宋体" w:hAnsi="宋体" w:cs="宋体"/>
              </w:rPr>
            </w:pPr>
            <w:r>
              <w:rPr>
                <w:rFonts w:ascii="宋体" w:hAnsi="宋体" w:cs="宋体"/>
              </w:rPr>
              <w:t>权利要求数量B2</w:t>
            </w:r>
          </w:p>
        </w:tc>
        <w:tc>
          <w:tcPr>
            <w:tcW w:w="4959" w:type="dxa"/>
            <w:vAlign w:val="center"/>
          </w:tcPr>
          <w:p>
            <w:pPr>
              <w:adjustRightInd/>
              <w:spacing w:line="240" w:lineRule="auto"/>
              <w:jc w:val="left"/>
              <w:rPr>
                <w:rFonts w:hint="eastAsia" w:ascii="宋体" w:hAnsi="宋体" w:cs="宋体"/>
              </w:rPr>
            </w:pPr>
            <w:r>
              <w:rPr>
                <w:rFonts w:ascii="宋体" w:hAnsi="宋体" w:cs="宋体"/>
              </w:rPr>
              <w:t>指标说明：一件</w:t>
            </w:r>
            <w:r>
              <w:rPr>
                <w:rFonts w:hint="eastAsia" w:ascii="宋体" w:hAnsi="宋体" w:cs="宋体"/>
                <w:lang w:eastAsia="zh-CN"/>
              </w:rPr>
              <w:t>发明</w:t>
            </w:r>
            <w:r>
              <w:rPr>
                <w:rFonts w:ascii="宋体" w:hAnsi="宋体" w:cs="宋体"/>
              </w:rPr>
              <w:t>专利中，权利要求书所包含的权利要求的总项数。</w:t>
            </w:r>
          </w:p>
          <w:p>
            <w:pPr>
              <w:adjustRightInd/>
              <w:spacing w:line="240" w:lineRule="auto"/>
              <w:jc w:val="left"/>
              <w:rPr>
                <w:rFonts w:hint="eastAsia" w:ascii="宋体" w:hAnsi="宋体" w:cs="宋体"/>
              </w:rPr>
            </w:pPr>
            <w:r>
              <w:rPr>
                <w:rFonts w:ascii="宋体" w:hAnsi="宋体" w:cs="宋体"/>
              </w:rPr>
              <w:t>数值选取：取近</w:t>
            </w:r>
            <w:r>
              <w:rPr>
                <w:rFonts w:hint="eastAsia" w:ascii="宋体" w:hAnsi="宋体" w:cs="宋体"/>
                <w:lang w:eastAsia="zh-CN"/>
              </w:rPr>
              <w:t>三</w:t>
            </w:r>
            <w:r>
              <w:rPr>
                <w:rFonts w:ascii="宋体" w:hAnsi="宋体" w:cs="宋体"/>
              </w:rPr>
              <w:t>年</w:t>
            </w:r>
            <w:r>
              <w:rPr>
                <w:rFonts w:hint="eastAsia" w:ascii="宋体" w:hAnsi="宋体" w:cs="宋体"/>
                <w:lang w:eastAsia="zh-CN"/>
              </w:rPr>
              <w:t>公告授权</w:t>
            </w:r>
            <w:r>
              <w:rPr>
                <w:rFonts w:ascii="宋体" w:hAnsi="宋体" w:cs="宋体"/>
              </w:rPr>
              <w:t>代理发明专利的权利要求项数的均值。</w:t>
            </w:r>
          </w:p>
          <w:p>
            <w:pPr>
              <w:adjustRightInd/>
              <w:spacing w:line="240" w:lineRule="auto"/>
              <w:jc w:val="left"/>
              <w:rPr>
                <w:rFonts w:hint="eastAsia" w:ascii="宋体" w:hAnsi="宋体" w:cs="宋体"/>
              </w:rPr>
            </w:pPr>
            <w:r>
              <w:rPr>
                <w:rFonts w:ascii="宋体" w:hAnsi="宋体" w:cs="宋体"/>
              </w:rPr>
              <w:t>信息来源：国家知识产权局。</w:t>
            </w:r>
          </w:p>
        </w:tc>
        <w:tc>
          <w:tcPr>
            <w:tcW w:w="874" w:type="dxa"/>
            <w:vMerge w:val="continue"/>
            <w:vAlign w:val="center"/>
          </w:tcPr>
          <w:p>
            <w:pPr>
              <w:adjustRightInd/>
              <w:spacing w:line="240" w:lineRule="auto"/>
              <w:jc w:val="center"/>
              <w:rPr>
                <w:rFonts w:hint="eastAsia" w:ascii="宋体" w:hAnsi="宋体" w:cs="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88" w:type="dxa"/>
            <w:vMerge w:val="continue"/>
            <w:vAlign w:val="center"/>
          </w:tcPr>
          <w:p>
            <w:pPr>
              <w:adjustRightInd/>
              <w:spacing w:line="240" w:lineRule="auto"/>
              <w:jc w:val="center"/>
              <w:rPr>
                <w:rFonts w:hint="eastAsia" w:ascii="宋体" w:hAnsi="宋体" w:cs="宋体"/>
              </w:rPr>
            </w:pPr>
          </w:p>
        </w:tc>
        <w:tc>
          <w:tcPr>
            <w:tcW w:w="1277" w:type="dxa"/>
            <w:vAlign w:val="center"/>
          </w:tcPr>
          <w:p>
            <w:pPr>
              <w:adjustRightInd/>
              <w:spacing w:line="240" w:lineRule="auto"/>
              <w:jc w:val="center"/>
              <w:rPr>
                <w:rFonts w:hint="eastAsia" w:ascii="宋体" w:hAnsi="宋体" w:cs="宋体"/>
              </w:rPr>
            </w:pPr>
            <w:r>
              <w:rPr>
                <w:rFonts w:ascii="宋体" w:hAnsi="宋体" w:cs="宋体"/>
              </w:rPr>
              <w:t>权利要求</w:t>
            </w:r>
          </w:p>
          <w:p>
            <w:pPr>
              <w:adjustRightInd/>
              <w:spacing w:line="240" w:lineRule="auto"/>
              <w:jc w:val="center"/>
              <w:rPr>
                <w:rFonts w:hint="eastAsia" w:ascii="宋体" w:hAnsi="宋体" w:cs="宋体"/>
              </w:rPr>
            </w:pPr>
            <w:r>
              <w:rPr>
                <w:rFonts w:hint="eastAsia" w:ascii="宋体" w:hAnsi="宋体" w:cs="宋体"/>
                <w:lang w:eastAsia="zh-CN"/>
              </w:rPr>
              <w:t>项数</w:t>
            </w:r>
            <w:r>
              <w:rPr>
                <w:rFonts w:ascii="宋体" w:hAnsi="宋体" w:cs="宋体"/>
              </w:rPr>
              <w:t>变化量B3</w:t>
            </w:r>
          </w:p>
        </w:tc>
        <w:tc>
          <w:tcPr>
            <w:tcW w:w="4959" w:type="dxa"/>
            <w:vAlign w:val="center"/>
          </w:tcPr>
          <w:p>
            <w:pPr>
              <w:adjustRightInd/>
              <w:spacing w:line="240" w:lineRule="auto"/>
              <w:jc w:val="left"/>
              <w:rPr>
                <w:rFonts w:hint="eastAsia" w:ascii="宋体" w:hAnsi="宋体" w:cs="宋体"/>
              </w:rPr>
            </w:pPr>
            <w:r>
              <w:rPr>
                <w:rFonts w:ascii="宋体" w:hAnsi="宋体" w:cs="宋体"/>
              </w:rPr>
              <w:t xml:space="preserve">指标说明：一件发明专利从申请阶段到授权阶段，权利要求项数发生的变化，权利要求项数变化量 = 授权时的权利要求项数 </w:t>
            </w:r>
            <w:r>
              <w:rPr>
                <w:rFonts w:ascii="Cambria Math" w:hAnsi="Cambria Math" w:cs="Cambria Math"/>
              </w:rPr>
              <w:t>−</w:t>
            </w:r>
            <w:r>
              <w:rPr>
                <w:rFonts w:ascii="宋体" w:hAnsi="宋体" w:cs="宋体"/>
              </w:rPr>
              <w:t xml:space="preserve"> 申请时的权利要求项数。</w:t>
            </w:r>
          </w:p>
          <w:p>
            <w:pPr>
              <w:adjustRightInd/>
              <w:spacing w:line="240" w:lineRule="auto"/>
              <w:jc w:val="left"/>
              <w:rPr>
                <w:rFonts w:hint="eastAsia" w:ascii="宋体" w:hAnsi="宋体" w:cs="宋体"/>
              </w:rPr>
            </w:pPr>
            <w:r>
              <w:rPr>
                <w:rFonts w:ascii="宋体" w:hAnsi="宋体" w:cs="宋体"/>
              </w:rPr>
              <w:t>数值选取：取近</w:t>
            </w:r>
            <w:r>
              <w:rPr>
                <w:rFonts w:hint="eastAsia" w:ascii="宋体" w:hAnsi="宋体" w:cs="宋体"/>
                <w:lang w:eastAsia="zh-CN"/>
              </w:rPr>
              <w:t>三</w:t>
            </w:r>
            <w:r>
              <w:rPr>
                <w:rFonts w:ascii="宋体" w:hAnsi="宋体" w:cs="宋体"/>
              </w:rPr>
              <w:t>年代理发明专利权利要求项数变化的均值。</w:t>
            </w:r>
          </w:p>
          <w:p>
            <w:pPr>
              <w:adjustRightInd/>
              <w:spacing w:line="240" w:lineRule="auto"/>
              <w:jc w:val="left"/>
              <w:rPr>
                <w:rFonts w:hint="eastAsia" w:ascii="宋体" w:hAnsi="宋体" w:cs="宋体"/>
              </w:rPr>
            </w:pPr>
            <w:r>
              <w:rPr>
                <w:rFonts w:ascii="宋体" w:hAnsi="宋体" w:cs="宋体"/>
              </w:rPr>
              <w:t>信息来源：国家知识产权局。</w:t>
            </w:r>
          </w:p>
        </w:tc>
        <w:tc>
          <w:tcPr>
            <w:tcW w:w="874" w:type="dxa"/>
            <w:vMerge w:val="continue"/>
            <w:vAlign w:val="center"/>
          </w:tcPr>
          <w:p>
            <w:pPr>
              <w:adjustRightInd/>
              <w:spacing w:line="240" w:lineRule="auto"/>
              <w:jc w:val="center"/>
              <w:rPr>
                <w:rFonts w:hint="eastAsia" w:ascii="宋体" w:hAnsi="宋体" w:cs="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88" w:type="dxa"/>
            <w:vMerge w:val="continue"/>
            <w:vAlign w:val="center"/>
          </w:tcPr>
          <w:p>
            <w:pPr>
              <w:adjustRightInd/>
              <w:spacing w:line="240" w:lineRule="auto"/>
              <w:rPr>
                <w:rFonts w:hint="eastAsia" w:ascii="宋体" w:hAnsi="宋体" w:cs="宋体"/>
              </w:rPr>
            </w:pPr>
          </w:p>
        </w:tc>
        <w:tc>
          <w:tcPr>
            <w:tcW w:w="1277" w:type="dxa"/>
            <w:vAlign w:val="center"/>
          </w:tcPr>
          <w:p>
            <w:pPr>
              <w:adjustRightInd/>
              <w:spacing w:line="240" w:lineRule="auto"/>
              <w:jc w:val="center"/>
              <w:rPr>
                <w:rFonts w:hint="eastAsia" w:ascii="宋体" w:hAnsi="宋体" w:cs="宋体"/>
              </w:rPr>
            </w:pPr>
            <w:r>
              <w:rPr>
                <w:rFonts w:ascii="宋体" w:hAnsi="宋体" w:cs="宋体"/>
              </w:rPr>
              <w:t>第一独立权利要求字数B4</w:t>
            </w:r>
          </w:p>
        </w:tc>
        <w:tc>
          <w:tcPr>
            <w:tcW w:w="4959" w:type="dxa"/>
            <w:vAlign w:val="center"/>
          </w:tcPr>
          <w:p>
            <w:pPr>
              <w:adjustRightInd/>
              <w:spacing w:line="240" w:lineRule="auto"/>
              <w:jc w:val="left"/>
              <w:rPr>
                <w:rFonts w:hint="eastAsia" w:ascii="宋体" w:hAnsi="宋体" w:cs="宋体"/>
              </w:rPr>
            </w:pPr>
            <w:r>
              <w:rPr>
                <w:rFonts w:ascii="宋体" w:hAnsi="宋体" w:cs="宋体"/>
              </w:rPr>
              <w:t>指标说明：发明专利的第一独立权利要求的字符数；</w:t>
            </w:r>
          </w:p>
          <w:p>
            <w:pPr>
              <w:adjustRightInd/>
              <w:spacing w:line="240" w:lineRule="auto"/>
              <w:jc w:val="left"/>
              <w:rPr>
                <w:rFonts w:hint="eastAsia" w:ascii="宋体" w:hAnsi="宋体" w:cs="宋体"/>
              </w:rPr>
            </w:pPr>
            <w:r>
              <w:rPr>
                <w:rFonts w:ascii="宋体" w:hAnsi="宋体" w:cs="宋体"/>
              </w:rPr>
              <w:t>数值选取：取近</w:t>
            </w:r>
            <w:r>
              <w:rPr>
                <w:rFonts w:hint="eastAsia" w:ascii="宋体" w:hAnsi="宋体" w:cs="宋体"/>
                <w:lang w:eastAsia="zh-CN"/>
              </w:rPr>
              <w:t>三</w:t>
            </w:r>
            <w:r>
              <w:rPr>
                <w:rFonts w:ascii="宋体" w:hAnsi="宋体" w:cs="宋体"/>
              </w:rPr>
              <w:t>年</w:t>
            </w:r>
            <w:r>
              <w:rPr>
                <w:rFonts w:hint="eastAsia" w:ascii="宋体" w:hAnsi="宋体" w:cs="宋体"/>
              </w:rPr>
              <w:t>代理</w:t>
            </w:r>
            <w:r>
              <w:rPr>
                <w:rFonts w:hint="eastAsia" w:ascii="宋体" w:hAnsi="宋体" w:cs="宋体"/>
                <w:lang w:eastAsia="zh-CN"/>
              </w:rPr>
              <w:t>公告授权</w:t>
            </w:r>
            <w:r>
              <w:rPr>
                <w:rFonts w:ascii="宋体" w:hAnsi="宋体" w:cs="宋体"/>
              </w:rPr>
              <w:t>发明专利的第一独立权利要求字数的均值。</w:t>
            </w:r>
          </w:p>
          <w:p>
            <w:pPr>
              <w:adjustRightInd/>
              <w:spacing w:line="240" w:lineRule="auto"/>
              <w:jc w:val="left"/>
              <w:rPr>
                <w:rFonts w:hint="eastAsia" w:ascii="宋体" w:hAnsi="宋体" w:cs="宋体"/>
              </w:rPr>
            </w:pPr>
            <w:r>
              <w:rPr>
                <w:rFonts w:ascii="宋体" w:hAnsi="宋体" w:cs="宋体"/>
              </w:rPr>
              <w:t>信息来源：国家知识产权局。</w:t>
            </w:r>
          </w:p>
        </w:tc>
        <w:tc>
          <w:tcPr>
            <w:tcW w:w="874" w:type="dxa"/>
            <w:vMerge w:val="continue"/>
            <w:vAlign w:val="center"/>
          </w:tcPr>
          <w:p>
            <w:pPr>
              <w:adjustRightInd/>
              <w:spacing w:line="240" w:lineRule="auto"/>
              <w:jc w:val="center"/>
              <w:rPr>
                <w:rFonts w:hint="eastAsia" w:ascii="宋体" w:hAnsi="宋体" w:cs="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88" w:type="dxa"/>
            <w:vMerge w:val="continue"/>
            <w:vAlign w:val="center"/>
          </w:tcPr>
          <w:p>
            <w:pPr>
              <w:adjustRightInd/>
              <w:spacing w:line="240" w:lineRule="auto"/>
              <w:rPr>
                <w:rFonts w:hint="eastAsia" w:ascii="宋体" w:hAnsi="宋体" w:cs="宋体"/>
              </w:rPr>
            </w:pPr>
          </w:p>
        </w:tc>
        <w:tc>
          <w:tcPr>
            <w:tcW w:w="1277" w:type="dxa"/>
            <w:vAlign w:val="center"/>
          </w:tcPr>
          <w:p>
            <w:pPr>
              <w:adjustRightInd/>
              <w:spacing w:line="240" w:lineRule="auto"/>
              <w:jc w:val="center"/>
              <w:rPr>
                <w:rFonts w:hint="eastAsia" w:ascii="宋体" w:hAnsi="宋体" w:cs="宋体"/>
              </w:rPr>
            </w:pPr>
            <w:r>
              <w:rPr>
                <w:rFonts w:ascii="宋体" w:hAnsi="宋体" w:cs="宋体"/>
              </w:rPr>
              <w:t>第一独立权利字数变化量B5</w:t>
            </w:r>
          </w:p>
        </w:tc>
        <w:tc>
          <w:tcPr>
            <w:tcW w:w="4959" w:type="dxa"/>
            <w:vAlign w:val="center"/>
          </w:tcPr>
          <w:p>
            <w:pPr>
              <w:adjustRightInd/>
              <w:spacing w:line="240" w:lineRule="auto"/>
              <w:jc w:val="left"/>
              <w:rPr>
                <w:rFonts w:hint="eastAsia" w:ascii="宋体" w:hAnsi="宋体" w:cs="宋体"/>
              </w:rPr>
            </w:pPr>
            <w:r>
              <w:rPr>
                <w:rFonts w:ascii="宋体" w:hAnsi="宋体" w:cs="宋体"/>
              </w:rPr>
              <w:t xml:space="preserve">指标说明：一件发明专利从申请阶段到授权阶段，其第一独立权利要求的字数变化情况，第一独立权利要求字数变化量 = 授权时第一独立权利要求字数 </w:t>
            </w:r>
            <w:r>
              <w:rPr>
                <w:rFonts w:ascii="Cambria Math" w:hAnsi="Cambria Math" w:cs="Cambria Math"/>
              </w:rPr>
              <w:t>−</w:t>
            </w:r>
            <w:r>
              <w:rPr>
                <w:rFonts w:ascii="宋体" w:hAnsi="宋体" w:cs="宋体"/>
              </w:rPr>
              <w:t xml:space="preserve"> 申请时第一独立权利要求字数。</w:t>
            </w:r>
          </w:p>
          <w:p>
            <w:pPr>
              <w:adjustRightInd/>
              <w:spacing w:line="240" w:lineRule="auto"/>
              <w:jc w:val="left"/>
              <w:rPr>
                <w:rFonts w:hint="eastAsia" w:ascii="宋体" w:hAnsi="宋体" w:cs="宋体"/>
              </w:rPr>
            </w:pPr>
            <w:r>
              <w:rPr>
                <w:rFonts w:ascii="宋体" w:hAnsi="宋体" w:cs="宋体"/>
              </w:rPr>
              <w:t>数值选取：取近</w:t>
            </w:r>
            <w:r>
              <w:rPr>
                <w:rFonts w:hint="eastAsia" w:ascii="宋体" w:hAnsi="宋体" w:cs="宋体"/>
                <w:lang w:eastAsia="zh-CN"/>
              </w:rPr>
              <w:t>三</w:t>
            </w:r>
            <w:r>
              <w:rPr>
                <w:rFonts w:ascii="宋体" w:hAnsi="宋体" w:cs="宋体"/>
              </w:rPr>
              <w:t>年代理</w:t>
            </w:r>
            <w:r>
              <w:rPr>
                <w:rFonts w:hint="eastAsia" w:ascii="宋体" w:hAnsi="宋体" w:cs="宋体"/>
                <w:lang w:eastAsia="zh-CN"/>
              </w:rPr>
              <w:t>公告授权</w:t>
            </w:r>
            <w:r>
              <w:rPr>
                <w:rFonts w:ascii="宋体" w:hAnsi="宋体" w:cs="宋体"/>
              </w:rPr>
              <w:t>发明专利的第一独立权利要求字数变化量的均值。</w:t>
            </w:r>
          </w:p>
          <w:p>
            <w:pPr>
              <w:adjustRightInd/>
              <w:spacing w:line="240" w:lineRule="auto"/>
              <w:jc w:val="left"/>
              <w:rPr>
                <w:rFonts w:hint="eastAsia" w:ascii="宋体" w:hAnsi="宋体" w:cs="宋体"/>
              </w:rPr>
            </w:pPr>
            <w:r>
              <w:rPr>
                <w:rFonts w:ascii="宋体" w:hAnsi="宋体" w:cs="宋体"/>
              </w:rPr>
              <w:t>信息来源：国家知识产权局。</w:t>
            </w:r>
          </w:p>
        </w:tc>
        <w:tc>
          <w:tcPr>
            <w:tcW w:w="874" w:type="dxa"/>
            <w:vMerge w:val="continue"/>
            <w:vAlign w:val="center"/>
          </w:tcPr>
          <w:p>
            <w:pPr>
              <w:adjustRightInd/>
              <w:spacing w:line="240" w:lineRule="auto"/>
              <w:jc w:val="center"/>
              <w:rPr>
                <w:rFonts w:hint="eastAsia" w:ascii="宋体" w:hAnsi="宋体" w:cs="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88" w:type="dxa"/>
            <w:vMerge w:val="continue"/>
            <w:vAlign w:val="center"/>
          </w:tcPr>
          <w:p>
            <w:pPr>
              <w:adjustRightInd/>
              <w:spacing w:line="240" w:lineRule="auto"/>
              <w:rPr>
                <w:rFonts w:hint="eastAsia" w:ascii="宋体" w:hAnsi="宋体" w:cs="宋体"/>
              </w:rPr>
            </w:pPr>
          </w:p>
        </w:tc>
        <w:tc>
          <w:tcPr>
            <w:tcW w:w="1277" w:type="dxa"/>
            <w:vAlign w:val="center"/>
          </w:tcPr>
          <w:p>
            <w:pPr>
              <w:adjustRightInd/>
              <w:spacing w:line="240" w:lineRule="auto"/>
              <w:jc w:val="center"/>
              <w:rPr>
                <w:rFonts w:hint="eastAsia" w:ascii="宋体" w:hAnsi="宋体" w:cs="宋体"/>
              </w:rPr>
            </w:pPr>
            <w:r>
              <w:rPr>
                <w:rFonts w:ascii="宋体" w:hAnsi="宋体" w:cs="宋体"/>
              </w:rPr>
              <w:t>说明书页数B6</w:t>
            </w:r>
          </w:p>
        </w:tc>
        <w:tc>
          <w:tcPr>
            <w:tcW w:w="4959" w:type="dxa"/>
            <w:vAlign w:val="center"/>
          </w:tcPr>
          <w:p>
            <w:pPr>
              <w:adjustRightInd/>
              <w:spacing w:line="240" w:lineRule="auto"/>
              <w:jc w:val="left"/>
              <w:rPr>
                <w:rFonts w:hint="eastAsia" w:ascii="宋体" w:hAnsi="宋体" w:cs="宋体"/>
              </w:rPr>
            </w:pPr>
            <w:r>
              <w:rPr>
                <w:rFonts w:ascii="宋体" w:hAnsi="宋体" w:cs="宋体"/>
              </w:rPr>
              <w:t>指标说明：一件发明专利文件中，说明书部分（包括技术领域、背景技术、发明内容、附图说明、具体实施方式等文字部分）和说明书附图部分，通常不包括权利要求书、摘要和摘要附图）所占的页面总数。</w:t>
            </w:r>
          </w:p>
          <w:p>
            <w:pPr>
              <w:adjustRightInd/>
              <w:spacing w:line="240" w:lineRule="auto"/>
              <w:jc w:val="left"/>
              <w:rPr>
                <w:rFonts w:hint="eastAsia" w:ascii="宋体" w:hAnsi="宋体" w:cs="宋体"/>
              </w:rPr>
            </w:pPr>
            <w:r>
              <w:rPr>
                <w:rFonts w:ascii="宋体" w:hAnsi="宋体" w:cs="宋体"/>
              </w:rPr>
              <w:t>数值选取：取近</w:t>
            </w:r>
            <w:r>
              <w:rPr>
                <w:rFonts w:hint="eastAsia" w:ascii="宋体" w:hAnsi="宋体" w:cs="宋体"/>
                <w:lang w:eastAsia="zh-CN"/>
              </w:rPr>
              <w:t>三</w:t>
            </w:r>
            <w:r>
              <w:rPr>
                <w:rFonts w:ascii="宋体" w:hAnsi="宋体" w:cs="宋体"/>
              </w:rPr>
              <w:t>年</w:t>
            </w:r>
            <w:r>
              <w:rPr>
                <w:rFonts w:hint="eastAsia" w:ascii="宋体" w:hAnsi="宋体" w:cs="宋体"/>
                <w:lang w:eastAsia="zh-CN"/>
              </w:rPr>
              <w:t>公告授权</w:t>
            </w:r>
            <w:r>
              <w:rPr>
                <w:rFonts w:ascii="宋体" w:hAnsi="宋体" w:cs="宋体"/>
              </w:rPr>
              <w:t>代理发明专利的说明书页数的均值。</w:t>
            </w:r>
          </w:p>
          <w:p>
            <w:pPr>
              <w:adjustRightInd/>
              <w:spacing w:line="240" w:lineRule="auto"/>
              <w:jc w:val="left"/>
              <w:rPr>
                <w:rFonts w:hint="eastAsia" w:ascii="宋体" w:hAnsi="宋体" w:cs="宋体"/>
              </w:rPr>
            </w:pPr>
            <w:r>
              <w:rPr>
                <w:rFonts w:ascii="宋体" w:hAnsi="宋体" w:cs="宋体"/>
              </w:rPr>
              <w:t>信息来源：国家知识产权局。</w:t>
            </w:r>
          </w:p>
        </w:tc>
        <w:tc>
          <w:tcPr>
            <w:tcW w:w="874" w:type="dxa"/>
            <w:vMerge w:val="continue"/>
            <w:vAlign w:val="center"/>
          </w:tcPr>
          <w:p>
            <w:pPr>
              <w:adjustRightInd/>
              <w:spacing w:line="240" w:lineRule="auto"/>
              <w:jc w:val="center"/>
              <w:rPr>
                <w:rFonts w:hint="eastAsia" w:ascii="宋体" w:hAnsi="宋体" w:cs="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88" w:type="dxa"/>
            <w:vMerge w:val="restart"/>
            <w:vAlign w:val="center"/>
          </w:tcPr>
          <w:p>
            <w:pPr>
              <w:adjustRightInd/>
              <w:spacing w:line="240" w:lineRule="auto"/>
              <w:jc w:val="center"/>
              <w:rPr>
                <w:rFonts w:hint="eastAsia" w:ascii="宋体" w:hAnsi="宋体" w:cs="宋体"/>
              </w:rPr>
            </w:pPr>
            <w:r>
              <w:rPr>
                <w:rFonts w:ascii="宋体" w:hAnsi="宋体" w:cs="宋体"/>
              </w:rPr>
              <w:t>专利获权能力C</w:t>
            </w:r>
          </w:p>
        </w:tc>
        <w:tc>
          <w:tcPr>
            <w:tcW w:w="1277" w:type="dxa"/>
            <w:vAlign w:val="center"/>
          </w:tcPr>
          <w:p>
            <w:pPr>
              <w:adjustRightInd/>
              <w:spacing w:line="240" w:lineRule="auto"/>
              <w:jc w:val="center"/>
              <w:rPr>
                <w:rFonts w:hint="eastAsia" w:ascii="宋体" w:hAnsi="宋体" w:cs="宋体"/>
              </w:rPr>
            </w:pPr>
            <w:r>
              <w:rPr>
                <w:rFonts w:ascii="宋体" w:hAnsi="宋体" w:cs="宋体"/>
              </w:rPr>
              <w:t>代理发明专利申请授权率C1</w:t>
            </w:r>
          </w:p>
        </w:tc>
        <w:tc>
          <w:tcPr>
            <w:tcW w:w="4959" w:type="dxa"/>
            <w:vAlign w:val="center"/>
          </w:tcPr>
          <w:p>
            <w:pPr>
              <w:adjustRightInd/>
              <w:spacing w:line="240" w:lineRule="auto"/>
              <w:jc w:val="left"/>
              <w:rPr>
                <w:rFonts w:hint="eastAsia" w:ascii="宋体" w:hAnsi="宋体" w:cs="宋体"/>
              </w:rPr>
            </w:pPr>
            <w:r>
              <w:rPr>
                <w:rFonts w:ascii="宋体" w:hAnsi="宋体" w:cs="宋体"/>
              </w:rPr>
              <w:t>指标说明：在一定统计周期内，专利代理师所代理的发明专利申请中，最终获得授权的比例。</w:t>
            </w:r>
          </w:p>
          <w:p>
            <w:pPr>
              <w:adjustRightInd/>
              <w:spacing w:line="240" w:lineRule="auto"/>
              <w:jc w:val="left"/>
              <w:rPr>
                <w:rFonts w:hint="eastAsia" w:ascii="宋体" w:hAnsi="宋体" w:cs="宋体"/>
              </w:rPr>
            </w:pPr>
            <w:r>
              <w:rPr>
                <w:rFonts w:ascii="宋体" w:hAnsi="宋体" w:cs="宋体"/>
              </w:rPr>
              <w:t>数值选取：近</w:t>
            </w:r>
            <w:r>
              <w:rPr>
                <w:rFonts w:hint="eastAsia" w:ascii="宋体" w:hAnsi="宋体" w:cs="宋体"/>
                <w:lang w:eastAsia="zh-CN"/>
              </w:rPr>
              <w:t>三</w:t>
            </w:r>
            <w:r>
              <w:rPr>
                <w:rFonts w:ascii="宋体" w:hAnsi="宋体" w:cs="宋体"/>
              </w:rPr>
              <w:t>年代理的发明专利申请授权率=（授权发明专利数量÷发明专利申请结案数量）×100%</w:t>
            </w:r>
          </w:p>
          <w:p>
            <w:pPr>
              <w:adjustRightInd/>
              <w:spacing w:line="240" w:lineRule="auto"/>
              <w:jc w:val="left"/>
              <w:rPr>
                <w:rFonts w:hint="eastAsia" w:ascii="宋体" w:hAnsi="宋体" w:cs="宋体"/>
              </w:rPr>
            </w:pPr>
            <w:r>
              <w:rPr>
                <w:rFonts w:ascii="宋体" w:hAnsi="宋体" w:cs="宋体"/>
              </w:rPr>
              <w:t>信息来源：国家知识产权局。</w:t>
            </w:r>
          </w:p>
        </w:tc>
        <w:tc>
          <w:tcPr>
            <w:tcW w:w="874" w:type="dxa"/>
            <w:vMerge w:val="continue"/>
            <w:vAlign w:val="center"/>
          </w:tcPr>
          <w:p>
            <w:pPr>
              <w:adjustRightInd/>
              <w:spacing w:line="240" w:lineRule="auto"/>
              <w:jc w:val="center"/>
              <w:rPr>
                <w:rFonts w:hint="eastAsia" w:ascii="宋体" w:hAnsi="宋体" w:cs="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88" w:type="dxa"/>
            <w:vMerge w:val="continue"/>
            <w:vAlign w:val="center"/>
          </w:tcPr>
          <w:p>
            <w:pPr>
              <w:adjustRightInd/>
              <w:spacing w:line="240" w:lineRule="auto"/>
              <w:jc w:val="center"/>
              <w:rPr>
                <w:rFonts w:hint="eastAsia" w:ascii="宋体" w:hAnsi="宋体" w:cs="宋体"/>
              </w:rPr>
            </w:pPr>
          </w:p>
        </w:tc>
        <w:tc>
          <w:tcPr>
            <w:tcW w:w="1277" w:type="dxa"/>
            <w:vAlign w:val="center"/>
          </w:tcPr>
          <w:p>
            <w:pPr>
              <w:adjustRightInd/>
              <w:spacing w:line="240" w:lineRule="auto"/>
              <w:jc w:val="center"/>
              <w:rPr>
                <w:rFonts w:hint="eastAsia" w:ascii="宋体" w:hAnsi="宋体" w:cs="宋体"/>
              </w:rPr>
            </w:pPr>
            <w:r>
              <w:rPr>
                <w:rFonts w:ascii="宋体" w:hAnsi="宋体" w:cs="宋体"/>
              </w:rPr>
              <w:t>代理发明专利申请撤回率C2</w:t>
            </w:r>
          </w:p>
        </w:tc>
        <w:tc>
          <w:tcPr>
            <w:tcW w:w="4959" w:type="dxa"/>
            <w:vAlign w:val="center"/>
          </w:tcPr>
          <w:p>
            <w:pPr>
              <w:widowControl/>
              <w:adjustRightInd/>
              <w:spacing w:line="240" w:lineRule="auto"/>
              <w:jc w:val="left"/>
              <w:rPr>
                <w:rFonts w:hint="eastAsia" w:ascii="宋体" w:hAnsi="宋体" w:eastAsia="宋体" w:cs="宋体"/>
                <w:lang w:eastAsia="zh-CN"/>
              </w:rPr>
            </w:pPr>
            <w:r>
              <w:rPr>
                <w:rFonts w:ascii="宋体" w:hAnsi="宋体" w:cs="宋体"/>
              </w:rPr>
              <w:t>指标说明：</w:t>
            </w:r>
            <w:r>
              <w:rPr>
                <w:rFonts w:hint="eastAsia" w:ascii="宋体" w:hAnsi="宋体" w:cs="宋体"/>
              </w:rPr>
              <w:t>发明专利申请撤回数量是指</w:t>
            </w:r>
            <w:r>
              <w:rPr>
                <w:rFonts w:ascii="宋体" w:hAnsi="宋体" w:cs="宋体"/>
              </w:rPr>
              <w:t>在一定统计周期内，专利代理师所代理的发明专利申请中，“主动撤回”和“视为撤回”的发明专利申请</w:t>
            </w:r>
            <w:r>
              <w:rPr>
                <w:rFonts w:hint="eastAsia" w:ascii="宋体" w:hAnsi="宋体" w:cs="宋体"/>
                <w:lang w:eastAsia="zh-CN"/>
              </w:rPr>
              <w:t>量。</w:t>
            </w:r>
          </w:p>
          <w:p>
            <w:pPr>
              <w:adjustRightInd/>
              <w:spacing w:line="240" w:lineRule="auto"/>
              <w:jc w:val="left"/>
              <w:rPr>
                <w:rFonts w:hint="eastAsia" w:ascii="宋体" w:hAnsi="宋体" w:cs="宋体"/>
              </w:rPr>
            </w:pPr>
            <w:r>
              <w:rPr>
                <w:rFonts w:ascii="宋体" w:hAnsi="宋体" w:cs="宋体"/>
              </w:rPr>
              <w:t>数值选取：近</w:t>
            </w:r>
            <w:r>
              <w:rPr>
                <w:rFonts w:hint="eastAsia" w:ascii="宋体" w:hAnsi="宋体" w:cs="宋体"/>
                <w:lang w:eastAsia="zh-CN"/>
              </w:rPr>
              <w:t>三</w:t>
            </w:r>
            <w:r>
              <w:rPr>
                <w:rFonts w:ascii="宋体" w:hAnsi="宋体" w:cs="宋体"/>
              </w:rPr>
              <w:t>年代理的发明专利申请撤回率=（发明专利申请撤回数量÷发明专利申请结案数量）×100%。</w:t>
            </w:r>
          </w:p>
          <w:p>
            <w:pPr>
              <w:adjustRightInd/>
              <w:spacing w:line="240" w:lineRule="auto"/>
              <w:jc w:val="left"/>
              <w:rPr>
                <w:rFonts w:hint="eastAsia" w:ascii="宋体" w:hAnsi="宋体" w:cs="宋体"/>
              </w:rPr>
            </w:pPr>
            <w:r>
              <w:rPr>
                <w:rFonts w:ascii="宋体" w:hAnsi="宋体" w:cs="宋体"/>
              </w:rPr>
              <w:t>信息来源：国家知识产权局。</w:t>
            </w:r>
          </w:p>
        </w:tc>
        <w:tc>
          <w:tcPr>
            <w:tcW w:w="874" w:type="dxa"/>
            <w:vMerge w:val="continue"/>
            <w:vAlign w:val="center"/>
          </w:tcPr>
          <w:p>
            <w:pPr>
              <w:adjustRightInd/>
              <w:spacing w:line="240" w:lineRule="auto"/>
              <w:jc w:val="center"/>
              <w:rPr>
                <w:rFonts w:hint="eastAsia" w:ascii="宋体" w:hAnsi="宋体" w:cs="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88" w:type="dxa"/>
            <w:vMerge w:val="restart"/>
            <w:vAlign w:val="center"/>
          </w:tcPr>
          <w:p>
            <w:pPr>
              <w:adjustRightInd/>
              <w:spacing w:line="240" w:lineRule="auto"/>
              <w:jc w:val="center"/>
              <w:rPr>
                <w:rFonts w:hint="eastAsia" w:ascii="宋体" w:hAnsi="宋体" w:cs="宋体"/>
              </w:rPr>
            </w:pPr>
            <w:r>
              <w:rPr>
                <w:rFonts w:ascii="宋体" w:hAnsi="宋体" w:cs="宋体"/>
              </w:rPr>
              <w:t>加分项D</w:t>
            </w:r>
          </w:p>
        </w:tc>
        <w:tc>
          <w:tcPr>
            <w:tcW w:w="1277" w:type="dxa"/>
            <w:vAlign w:val="center"/>
          </w:tcPr>
          <w:p>
            <w:pPr>
              <w:adjustRightInd/>
              <w:spacing w:line="240" w:lineRule="auto"/>
              <w:jc w:val="center"/>
              <w:rPr>
                <w:rFonts w:hint="eastAsia" w:ascii="宋体" w:hAnsi="宋体" w:cs="宋体"/>
              </w:rPr>
            </w:pPr>
            <w:r>
              <w:rPr>
                <w:rFonts w:ascii="宋体" w:hAnsi="宋体" w:cs="宋体"/>
              </w:rPr>
              <w:t>法律</w:t>
            </w:r>
            <w:r>
              <w:rPr>
                <w:rFonts w:hint="eastAsia" w:ascii="宋体" w:hAnsi="宋体" w:cs="宋体"/>
                <w:lang w:eastAsia="zh-CN"/>
              </w:rPr>
              <w:t>职业</w:t>
            </w:r>
            <w:r>
              <w:rPr>
                <w:rFonts w:ascii="宋体" w:hAnsi="宋体" w:cs="宋体"/>
              </w:rPr>
              <w:t>资格D1</w:t>
            </w:r>
          </w:p>
        </w:tc>
        <w:tc>
          <w:tcPr>
            <w:tcW w:w="4959" w:type="dxa"/>
            <w:vAlign w:val="center"/>
          </w:tcPr>
          <w:p>
            <w:pPr>
              <w:adjustRightInd/>
              <w:spacing w:line="240" w:lineRule="auto"/>
              <w:jc w:val="left"/>
              <w:rPr>
                <w:rFonts w:hint="eastAsia" w:ascii="宋体" w:hAnsi="宋体" w:cs="宋体"/>
              </w:rPr>
            </w:pPr>
            <w:r>
              <w:rPr>
                <w:rFonts w:ascii="宋体" w:hAnsi="宋体" w:cs="宋体"/>
              </w:rPr>
              <w:t>指标说明：由国家司法部根据《国家统一法律职业资格考试实施办法》统一颁发，证明持有人通过国家统一法律职业资格考试（法考）、具备从事特定法律职业所需资格和能力的法定凭证。</w:t>
            </w:r>
          </w:p>
          <w:p>
            <w:pPr>
              <w:adjustRightInd/>
              <w:spacing w:line="240" w:lineRule="auto"/>
              <w:jc w:val="left"/>
              <w:rPr>
                <w:rFonts w:hint="eastAsia" w:ascii="宋体" w:hAnsi="宋体" w:cs="宋体"/>
              </w:rPr>
            </w:pPr>
            <w:r>
              <w:rPr>
                <w:rFonts w:ascii="宋体" w:hAnsi="宋体" w:cs="宋体"/>
              </w:rPr>
              <w:t>信息来源：国家司法部登记数据</w:t>
            </w:r>
          </w:p>
        </w:tc>
        <w:tc>
          <w:tcPr>
            <w:tcW w:w="874" w:type="dxa"/>
            <w:vAlign w:val="center"/>
          </w:tcPr>
          <w:p>
            <w:pPr>
              <w:adjustRightInd/>
              <w:spacing w:line="240" w:lineRule="auto"/>
              <w:jc w:val="center"/>
              <w:rPr>
                <w:rFonts w:hint="eastAsia" w:ascii="宋体" w:hAnsi="宋体" w:cs="宋体"/>
              </w:rPr>
            </w:pPr>
            <w:r>
              <w:rPr>
                <w:rFonts w:ascii="宋体" w:hAnsi="宋体" w:cs="宋体"/>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88" w:type="dxa"/>
            <w:vMerge w:val="continue"/>
            <w:vAlign w:val="center"/>
          </w:tcPr>
          <w:p>
            <w:pPr>
              <w:adjustRightInd/>
              <w:spacing w:line="240" w:lineRule="auto"/>
              <w:rPr>
                <w:rFonts w:hint="eastAsia" w:ascii="宋体" w:hAnsi="宋体" w:cs="宋体"/>
                <w:sz w:val="24"/>
                <w:szCs w:val="24"/>
              </w:rPr>
            </w:pPr>
          </w:p>
        </w:tc>
        <w:tc>
          <w:tcPr>
            <w:tcW w:w="1277" w:type="dxa"/>
            <w:vAlign w:val="center"/>
          </w:tcPr>
          <w:p>
            <w:pPr>
              <w:adjustRightInd/>
              <w:spacing w:line="240" w:lineRule="auto"/>
              <w:jc w:val="center"/>
              <w:rPr>
                <w:rFonts w:hint="eastAsia" w:ascii="宋体" w:hAnsi="宋体" w:cs="宋体"/>
              </w:rPr>
            </w:pPr>
            <w:r>
              <w:rPr>
                <w:rFonts w:ascii="宋体" w:hAnsi="宋体" w:cs="宋体"/>
              </w:rPr>
              <w:t>诉讼代理人资格D2</w:t>
            </w:r>
          </w:p>
        </w:tc>
        <w:tc>
          <w:tcPr>
            <w:tcW w:w="4959" w:type="dxa"/>
            <w:vAlign w:val="center"/>
          </w:tcPr>
          <w:p>
            <w:pPr>
              <w:adjustRightInd/>
              <w:spacing w:line="240" w:lineRule="auto"/>
              <w:jc w:val="left"/>
              <w:rPr>
                <w:rFonts w:hint="eastAsia" w:ascii="宋体" w:hAnsi="宋体" w:cs="宋体"/>
              </w:rPr>
            </w:pPr>
            <w:r>
              <w:rPr>
                <w:rFonts w:ascii="宋体" w:hAnsi="宋体" w:cs="宋体"/>
              </w:rPr>
              <w:t>指标说明：</w:t>
            </w:r>
            <w:r>
              <w:rPr>
                <w:rFonts w:hint="eastAsia" w:ascii="宋体" w:hAnsi="宋体" w:cs="宋体"/>
                <w:lang w:eastAsia="zh-CN"/>
              </w:rPr>
              <w:t>被</w:t>
            </w:r>
            <w:r>
              <w:rPr>
                <w:rFonts w:ascii="宋体" w:hAnsi="宋体" w:cs="宋体"/>
              </w:rPr>
              <w:t>中华全国专利代理师协会列入诉讼代理人名册的专利代理师，获得在专利民事或行政案件中担任诉讼代理人的资格。</w:t>
            </w:r>
          </w:p>
          <w:p>
            <w:pPr>
              <w:adjustRightInd/>
              <w:spacing w:line="240" w:lineRule="auto"/>
              <w:jc w:val="left"/>
              <w:rPr>
                <w:rFonts w:hint="eastAsia" w:ascii="宋体" w:hAnsi="宋体" w:cs="宋体"/>
              </w:rPr>
            </w:pPr>
            <w:r>
              <w:rPr>
                <w:rFonts w:ascii="宋体" w:hAnsi="宋体" w:cs="宋体"/>
              </w:rPr>
              <w:t>信息来源：中华全国专利代理师协会。</w:t>
            </w:r>
          </w:p>
        </w:tc>
        <w:tc>
          <w:tcPr>
            <w:tcW w:w="874" w:type="dxa"/>
            <w:vAlign w:val="center"/>
          </w:tcPr>
          <w:p>
            <w:pPr>
              <w:adjustRightInd/>
              <w:spacing w:line="240" w:lineRule="auto"/>
              <w:jc w:val="center"/>
              <w:rPr>
                <w:rFonts w:hint="eastAsia" w:ascii="宋体" w:hAnsi="宋体" w:cs="宋体"/>
              </w:rPr>
            </w:pPr>
            <w:r>
              <w:rPr>
                <w:rFonts w:ascii="宋体" w:hAnsi="宋体" w:cs="宋体"/>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088" w:type="dxa"/>
            <w:vMerge w:val="continue"/>
            <w:vAlign w:val="center"/>
          </w:tcPr>
          <w:p>
            <w:pPr>
              <w:adjustRightInd/>
              <w:spacing w:line="240" w:lineRule="auto"/>
              <w:rPr>
                <w:rFonts w:hint="eastAsia" w:ascii="宋体" w:hAnsi="宋体" w:cs="宋体"/>
                <w:sz w:val="24"/>
                <w:szCs w:val="24"/>
              </w:rPr>
            </w:pPr>
          </w:p>
        </w:tc>
        <w:tc>
          <w:tcPr>
            <w:tcW w:w="1277" w:type="dxa"/>
            <w:vAlign w:val="center"/>
          </w:tcPr>
          <w:p>
            <w:pPr>
              <w:adjustRightInd/>
              <w:spacing w:line="240" w:lineRule="auto"/>
              <w:jc w:val="center"/>
              <w:rPr>
                <w:rFonts w:hint="eastAsia" w:ascii="宋体" w:hAnsi="宋体" w:cs="宋体"/>
              </w:rPr>
            </w:pPr>
            <w:r>
              <w:rPr>
                <w:rFonts w:ascii="宋体" w:hAnsi="宋体" w:cs="宋体"/>
              </w:rPr>
              <w:t>专利奖D3</w:t>
            </w:r>
          </w:p>
        </w:tc>
        <w:tc>
          <w:tcPr>
            <w:tcW w:w="4959" w:type="dxa"/>
            <w:vAlign w:val="center"/>
          </w:tcPr>
          <w:p>
            <w:pPr>
              <w:adjustRightInd/>
              <w:spacing w:line="240" w:lineRule="auto"/>
              <w:jc w:val="left"/>
              <w:rPr>
                <w:rFonts w:hint="eastAsia" w:ascii="宋体" w:hAnsi="宋体" w:cs="宋体"/>
              </w:rPr>
            </w:pPr>
            <w:r>
              <w:rPr>
                <w:rFonts w:ascii="宋体" w:hAnsi="宋体" w:cs="宋体"/>
              </w:rPr>
              <w:t>指标说明：中国专利奖</w:t>
            </w:r>
            <w:r>
              <w:rPr>
                <w:rFonts w:hint="eastAsia" w:ascii="宋体" w:hAnsi="宋体" w:cs="宋体"/>
                <w:lang w:eastAsia="zh-CN"/>
              </w:rPr>
              <w:t>或</w:t>
            </w:r>
            <w:r>
              <w:rPr>
                <w:rFonts w:ascii="宋体" w:hAnsi="宋体" w:cs="宋体"/>
              </w:rPr>
              <w:t>浙江省知识产权奖（发明专利）。</w:t>
            </w:r>
          </w:p>
          <w:p>
            <w:pPr>
              <w:adjustRightInd/>
              <w:spacing w:line="240" w:lineRule="auto"/>
              <w:jc w:val="left"/>
              <w:rPr>
                <w:rFonts w:hint="eastAsia" w:ascii="宋体" w:hAnsi="宋体" w:cs="宋体"/>
              </w:rPr>
            </w:pPr>
            <w:r>
              <w:rPr>
                <w:rFonts w:ascii="宋体" w:hAnsi="宋体" w:cs="宋体"/>
              </w:rPr>
              <w:t>注：</w:t>
            </w:r>
            <w:r>
              <w:rPr>
                <w:rFonts w:hint="eastAsia" w:ascii="宋体" w:hAnsi="宋体" w:cs="宋体"/>
              </w:rPr>
              <w:t>首次评价不限年份</w:t>
            </w:r>
            <w:r>
              <w:rPr>
                <w:rFonts w:hint="eastAsia" w:ascii="宋体" w:hAnsi="宋体" w:cs="宋体"/>
                <w:lang w:eastAsia="zh-CN"/>
              </w:rPr>
              <w:t>，</w:t>
            </w:r>
            <w:r>
              <w:rPr>
                <w:rFonts w:ascii="宋体" w:hAnsi="宋体" w:cs="宋体"/>
              </w:rPr>
              <w:t>第二次评价及往后评价，取该评价周期内获奖数据。</w:t>
            </w:r>
          </w:p>
          <w:p>
            <w:pPr>
              <w:adjustRightInd/>
              <w:spacing w:line="240" w:lineRule="auto"/>
              <w:jc w:val="left"/>
              <w:rPr>
                <w:rFonts w:hint="eastAsia" w:ascii="宋体" w:hAnsi="宋体" w:cs="宋体"/>
              </w:rPr>
            </w:pPr>
            <w:r>
              <w:rPr>
                <w:rFonts w:ascii="宋体" w:hAnsi="宋体" w:cs="宋体"/>
              </w:rPr>
              <w:t>信息来源：国家知识产权局。</w:t>
            </w:r>
          </w:p>
        </w:tc>
        <w:tc>
          <w:tcPr>
            <w:tcW w:w="874" w:type="dxa"/>
            <w:vAlign w:val="center"/>
          </w:tcPr>
          <w:p>
            <w:pPr>
              <w:adjustRightInd/>
              <w:spacing w:line="240" w:lineRule="auto"/>
              <w:jc w:val="center"/>
              <w:rPr>
                <w:rFonts w:hint="eastAsia" w:ascii="宋体" w:hAnsi="宋体" w:cs="宋体"/>
              </w:rPr>
            </w:pPr>
            <w:r>
              <w:rPr>
                <w:rFonts w:ascii="宋体" w:hAnsi="宋体" w:cs="宋体"/>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88" w:type="dxa"/>
            <w:vMerge w:val="continue"/>
            <w:vAlign w:val="center"/>
          </w:tcPr>
          <w:p>
            <w:pPr>
              <w:adjustRightInd/>
              <w:spacing w:line="240" w:lineRule="auto"/>
              <w:rPr>
                <w:rFonts w:hint="eastAsia" w:ascii="宋体" w:hAnsi="宋体" w:cs="宋体"/>
                <w:sz w:val="24"/>
                <w:szCs w:val="24"/>
              </w:rPr>
            </w:pPr>
          </w:p>
        </w:tc>
        <w:tc>
          <w:tcPr>
            <w:tcW w:w="1277" w:type="dxa"/>
            <w:vAlign w:val="center"/>
          </w:tcPr>
          <w:p>
            <w:pPr>
              <w:adjustRightInd/>
              <w:spacing w:line="240" w:lineRule="auto"/>
              <w:jc w:val="center"/>
              <w:rPr>
                <w:rFonts w:hint="eastAsia" w:ascii="宋体" w:hAnsi="宋体" w:cs="宋体"/>
              </w:rPr>
            </w:pPr>
            <w:r>
              <w:rPr>
                <w:rFonts w:ascii="宋体" w:hAnsi="宋体" w:cs="宋体"/>
              </w:rPr>
              <w:t>标准必要专利（SEP）D4</w:t>
            </w:r>
          </w:p>
        </w:tc>
        <w:tc>
          <w:tcPr>
            <w:tcW w:w="4959" w:type="dxa"/>
            <w:vAlign w:val="center"/>
          </w:tcPr>
          <w:p>
            <w:pPr>
              <w:adjustRightInd/>
              <w:spacing w:line="240" w:lineRule="auto"/>
              <w:jc w:val="left"/>
              <w:rPr>
                <w:rFonts w:hint="eastAsia" w:ascii="宋体" w:hAnsi="宋体" w:cs="宋体"/>
              </w:rPr>
            </w:pPr>
            <w:r>
              <w:rPr>
                <w:rFonts w:ascii="宋体" w:hAnsi="宋体" w:cs="宋体"/>
              </w:rPr>
              <w:t>指标说明：专利被纳入国际、国家或行业标准中，在实施标准时无法避开且必须使用（不限年份）。</w:t>
            </w:r>
          </w:p>
          <w:p>
            <w:pPr>
              <w:adjustRightInd/>
              <w:spacing w:line="240" w:lineRule="auto"/>
              <w:jc w:val="left"/>
              <w:rPr>
                <w:rFonts w:hint="eastAsia" w:ascii="宋体" w:hAnsi="宋体" w:cs="宋体"/>
              </w:rPr>
            </w:pPr>
            <w:r>
              <w:rPr>
                <w:rFonts w:ascii="宋体" w:hAnsi="宋体" w:cs="宋体"/>
              </w:rPr>
              <w:t>信息来源：国家知识产权局。</w:t>
            </w:r>
          </w:p>
        </w:tc>
        <w:tc>
          <w:tcPr>
            <w:tcW w:w="874" w:type="dxa"/>
            <w:vAlign w:val="center"/>
          </w:tcPr>
          <w:p>
            <w:pPr>
              <w:adjustRightInd/>
              <w:spacing w:line="240" w:lineRule="auto"/>
              <w:jc w:val="center"/>
              <w:rPr>
                <w:rFonts w:hint="eastAsia" w:ascii="宋体" w:hAnsi="宋体" w:cs="宋体"/>
              </w:rPr>
            </w:pPr>
            <w:r>
              <w:rPr>
                <w:rFonts w:ascii="宋体" w:hAnsi="宋体" w:cs="宋体"/>
              </w:rPr>
              <w:t>-</w:t>
            </w:r>
          </w:p>
        </w:tc>
      </w:tr>
    </w:tbl>
    <w:p>
      <w:pPr>
        <w:pStyle w:val="56"/>
      </w:pPr>
    </w:p>
    <w:p>
      <w:pPr>
        <w:pStyle w:val="56"/>
        <w:sectPr>
          <w:pgSz w:w="11906" w:h="16838"/>
          <w:pgMar w:top="1928" w:right="1134" w:bottom="1134" w:left="1134" w:header="1418" w:footer="1134" w:gutter="284"/>
          <w:pgBorders>
            <w:top w:val="none" w:sz="0" w:space="0"/>
            <w:left w:val="none" w:sz="0" w:space="0"/>
            <w:bottom w:val="none" w:sz="0" w:space="0"/>
            <w:right w:val="none" w:sz="0" w:space="0"/>
          </w:pgBorders>
          <w:cols w:space="425" w:num="1"/>
          <w:formProt w:val="0"/>
          <w:docGrid w:linePitch="312" w:charSpace="0"/>
        </w:sectPr>
      </w:pPr>
    </w:p>
    <w:p>
      <w:pPr>
        <w:pStyle w:val="56"/>
        <w:ind w:left="0" w:leftChars="0" w:firstLine="0" w:firstLineChars="0"/>
      </w:pPr>
    </w:p>
    <w:p>
      <w:pPr>
        <w:pStyle w:val="76"/>
        <w:spacing w:after="120"/>
        <w:rPr>
          <w:rFonts w:hint="default" w:eastAsia="黑体"/>
          <w:lang w:val="en-US" w:eastAsia="zh-CN"/>
        </w:rPr>
      </w:pPr>
      <w:bookmarkStart w:id="67" w:name="_Toc1041573168"/>
      <w:r>
        <w:br w:type="textWrapping"/>
      </w:r>
      <w:r>
        <w:rPr>
          <w:rFonts w:hint="eastAsia"/>
        </w:rPr>
        <w:t>（规范性）</w:t>
      </w:r>
      <w:r>
        <w:br w:type="textWrapping"/>
      </w:r>
      <w:r>
        <w:rPr>
          <w:rFonts w:hint="eastAsia"/>
        </w:rPr>
        <w:t>专利代理</w:t>
      </w:r>
      <w:r>
        <w:rPr>
          <w:rFonts w:hint="eastAsia"/>
          <w:lang w:eastAsia="zh-CN"/>
        </w:rPr>
        <w:t>师</w:t>
      </w:r>
      <w:r>
        <w:rPr>
          <w:rFonts w:hint="eastAsia"/>
        </w:rPr>
        <w:t>能力无感评价</w:t>
      </w:r>
      <w:r>
        <w:rPr>
          <w:rFonts w:hint="eastAsia"/>
          <w:lang w:val="en-US" w:eastAsia="zh-CN"/>
        </w:rPr>
        <w:t>内容及具体分值</w:t>
      </w:r>
      <w:bookmarkEnd w:id="67"/>
    </w:p>
    <w:tbl>
      <w:tblPr>
        <w:tblStyle w:val="231"/>
        <w:tblW w:w="8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954"/>
        <w:gridCol w:w="1376"/>
        <w:gridCol w:w="1349"/>
        <w:gridCol w:w="1451"/>
        <w:gridCol w:w="1576"/>
        <w:gridCol w:w="12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666" w:type="dxa"/>
            <w:tcBorders>
              <w:top w:val="single" w:color="auto" w:sz="8" w:space="0"/>
              <w:left w:val="single" w:color="auto" w:sz="4" w:space="0"/>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一级指标</w:t>
            </w:r>
          </w:p>
        </w:tc>
        <w:tc>
          <w:tcPr>
            <w:tcW w:w="954" w:type="dxa"/>
            <w:tcBorders>
              <w:top w:val="single" w:color="auto" w:sz="8" w:space="0"/>
              <w:left w:val="nil"/>
              <w:bottom w:val="single" w:color="auto" w:sz="8" w:space="0"/>
              <w:right w:val="single" w:color="auto" w:sz="4" w:space="0"/>
            </w:tcBorders>
            <w:vAlign w:val="center"/>
          </w:tcPr>
          <w:p>
            <w:pPr>
              <w:adjustRightInd/>
              <w:spacing w:line="240" w:lineRule="auto"/>
              <w:jc w:val="center"/>
              <w:rPr>
                <w:rFonts w:ascii="宋体" w:hAnsi="宋体" w:cs="宋体"/>
              </w:rPr>
            </w:pPr>
            <w:r>
              <w:rPr>
                <w:rFonts w:ascii="宋体" w:hAnsi="宋体" w:cs="宋体"/>
              </w:rPr>
              <w:t>二级</w:t>
            </w:r>
          </w:p>
          <w:p>
            <w:pPr>
              <w:adjustRightInd/>
              <w:spacing w:line="240" w:lineRule="auto"/>
              <w:jc w:val="center"/>
              <w:rPr>
                <w:rFonts w:hint="eastAsia" w:ascii="宋体" w:hAnsi="宋体" w:cs="宋体"/>
              </w:rPr>
            </w:pPr>
            <w:r>
              <w:rPr>
                <w:rFonts w:ascii="宋体" w:hAnsi="宋体" w:cs="宋体"/>
              </w:rPr>
              <w:t>指标</w:t>
            </w:r>
          </w:p>
        </w:tc>
        <w:tc>
          <w:tcPr>
            <w:tcW w:w="7016" w:type="dxa"/>
            <w:gridSpan w:val="5"/>
            <w:tcBorders>
              <w:top w:val="single" w:color="auto" w:sz="8" w:space="0"/>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评定内容及具体分值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666" w:type="dxa"/>
            <w:vMerge w:val="restart"/>
            <w:tcBorders>
              <w:top w:val="single" w:color="auto" w:sz="8" w:space="0"/>
              <w:left w:val="single" w:color="auto" w:sz="4"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执业能力A</w:t>
            </w:r>
          </w:p>
        </w:tc>
        <w:tc>
          <w:tcPr>
            <w:tcW w:w="954" w:type="dxa"/>
            <w:vMerge w:val="restart"/>
            <w:tcBorders>
              <w:top w:val="single" w:color="auto" w:sz="8" w:space="0"/>
              <w:left w:val="nil"/>
              <w:right w:val="single" w:color="auto" w:sz="4" w:space="0"/>
            </w:tcBorders>
            <w:vAlign w:val="center"/>
          </w:tcPr>
          <w:p>
            <w:pPr>
              <w:adjustRightInd/>
              <w:spacing w:line="240" w:lineRule="auto"/>
              <w:jc w:val="center"/>
              <w:rPr>
                <w:rFonts w:hint="eastAsia" w:ascii="宋体" w:hAnsi="宋体" w:cs="宋体"/>
              </w:rPr>
            </w:pPr>
            <w:r>
              <w:rPr>
                <w:rFonts w:hint="eastAsia" w:ascii="宋体" w:hAnsi="宋体" w:cs="宋体"/>
              </w:rPr>
              <w:t>代理</w:t>
            </w:r>
          </w:p>
          <w:p>
            <w:pPr>
              <w:adjustRightInd/>
              <w:spacing w:line="240" w:lineRule="auto"/>
              <w:jc w:val="center"/>
              <w:rPr>
                <w:rFonts w:hint="eastAsia" w:ascii="宋体" w:hAnsi="宋体" w:cs="宋体"/>
              </w:rPr>
            </w:pPr>
            <w:r>
              <w:rPr>
                <w:rFonts w:ascii="宋体" w:hAnsi="宋体" w:cs="宋体"/>
              </w:rPr>
              <w:t>发明</w:t>
            </w:r>
          </w:p>
          <w:p>
            <w:pPr>
              <w:adjustRightInd/>
              <w:spacing w:line="240" w:lineRule="auto"/>
              <w:jc w:val="center"/>
              <w:rPr>
                <w:rFonts w:hint="eastAsia" w:ascii="宋体" w:hAnsi="宋体" w:eastAsia="宋体" w:cs="宋体"/>
                <w:lang w:eastAsia="zh-CN"/>
              </w:rPr>
            </w:pPr>
            <w:r>
              <w:rPr>
                <w:rFonts w:ascii="宋体" w:hAnsi="宋体" w:cs="宋体"/>
              </w:rPr>
              <w:t>专利申请量A</w:t>
            </w:r>
            <w:r>
              <w:rPr>
                <w:rFonts w:hint="eastAsia" w:ascii="宋体" w:hAnsi="宋体" w:cs="宋体"/>
                <w:lang w:val="en-US" w:eastAsia="zh-CN"/>
              </w:rPr>
              <w:t>1</w:t>
            </w:r>
          </w:p>
        </w:tc>
        <w:tc>
          <w:tcPr>
            <w:tcW w:w="7016" w:type="dxa"/>
            <w:gridSpan w:val="5"/>
            <w:tcBorders>
              <w:top w:val="single" w:color="auto" w:sz="8" w:space="0"/>
              <w:left w:val="nil"/>
              <w:bottom w:val="single" w:color="auto" w:sz="8" w:space="0"/>
              <w:right w:val="single" w:color="auto" w:sz="4" w:space="0"/>
            </w:tcBorders>
            <w:vAlign w:val="center"/>
          </w:tcPr>
          <w:p>
            <w:pPr>
              <w:adjustRightInd/>
              <w:spacing w:line="240" w:lineRule="auto"/>
              <w:jc w:val="center"/>
              <w:rPr>
                <w:rFonts w:ascii="宋体" w:hAnsi="宋体" w:cs="宋体"/>
              </w:rPr>
            </w:pPr>
            <w:r>
              <w:rPr>
                <w:rFonts w:ascii="宋体" w:hAnsi="宋体" w:cs="宋体"/>
              </w:rPr>
              <w:t>最低</w:t>
            </w:r>
            <w:r>
              <w:rPr>
                <w:rFonts w:hint="eastAsia" w:ascii="宋体" w:hAnsi="宋体" w:cs="宋体"/>
                <w:lang w:val="en-US" w:eastAsia="zh-CN"/>
              </w:rPr>
              <w:t>20</w:t>
            </w:r>
            <w:r>
              <w:rPr>
                <w:rFonts w:ascii="宋体" w:hAnsi="宋体" w:cs="宋体"/>
              </w:rPr>
              <w:t>分，最高</w:t>
            </w:r>
            <w:r>
              <w:rPr>
                <w:rFonts w:hint="eastAsia" w:ascii="宋体" w:hAnsi="宋体" w:cs="宋体"/>
                <w:lang w:val="en-US" w:eastAsia="zh-CN"/>
              </w:rPr>
              <w:t>100</w:t>
            </w:r>
            <w:r>
              <w:rPr>
                <w:rFonts w:ascii="宋体" w:hAnsi="宋体" w:cs="宋体"/>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666" w:type="dxa"/>
            <w:vMerge w:val="continue"/>
            <w:tcBorders>
              <w:left w:val="single" w:color="auto" w:sz="4" w:space="0"/>
              <w:right w:val="single" w:color="auto" w:sz="4" w:space="0"/>
            </w:tcBorders>
            <w:vAlign w:val="center"/>
          </w:tcPr>
          <w:p>
            <w:pPr>
              <w:adjustRightInd/>
              <w:spacing w:line="240" w:lineRule="auto"/>
              <w:jc w:val="center"/>
              <w:rPr>
                <w:rFonts w:ascii="宋体" w:hAnsi="宋体" w:cs="宋体"/>
              </w:rPr>
            </w:pPr>
          </w:p>
        </w:tc>
        <w:tc>
          <w:tcPr>
            <w:tcW w:w="954" w:type="dxa"/>
            <w:vMerge w:val="continue"/>
            <w:tcBorders>
              <w:left w:val="nil"/>
              <w:right w:val="single" w:color="auto" w:sz="4" w:space="0"/>
            </w:tcBorders>
            <w:vAlign w:val="center"/>
          </w:tcPr>
          <w:p>
            <w:pPr>
              <w:adjustRightInd/>
              <w:spacing w:line="240" w:lineRule="auto"/>
              <w:jc w:val="center"/>
              <w:rPr>
                <w:rFonts w:ascii="宋体" w:hAnsi="宋体" w:cs="宋体"/>
              </w:rPr>
            </w:pPr>
          </w:p>
        </w:tc>
        <w:tc>
          <w:tcPr>
            <w:tcW w:w="1376" w:type="dxa"/>
            <w:tcBorders>
              <w:top w:val="single" w:color="auto" w:sz="8" w:space="0"/>
              <w:left w:val="nil"/>
              <w:bottom w:val="single" w:color="auto" w:sz="8" w:space="0"/>
              <w:right w:val="single" w:color="auto" w:sz="4" w:space="0"/>
            </w:tcBorders>
            <w:vAlign w:val="center"/>
          </w:tcPr>
          <w:p>
            <w:pPr>
              <w:keepNext w:val="0"/>
              <w:keepLines w:val="0"/>
              <w:widowControl/>
              <w:suppressLineNumbers w:val="0"/>
              <w:jc w:val="center"/>
              <w:textAlignment w:val="center"/>
              <w:rPr>
                <w:rFonts w:ascii="宋体" w:hAnsi="宋体" w:cs="宋体"/>
              </w:rPr>
            </w:pPr>
            <w:r>
              <w:rPr>
                <w:rFonts w:hint="eastAsia" w:ascii="宋体" w:hAnsi="宋体" w:eastAsia="宋体" w:cs="宋体"/>
                <w:i w:val="0"/>
                <w:iCs w:val="0"/>
                <w:color w:val="000000"/>
                <w:kern w:val="0"/>
                <w:sz w:val="22"/>
                <w:szCs w:val="22"/>
                <w:u w:val="none"/>
                <w:lang w:val="en-US" w:eastAsia="zh-CN" w:bidi="ar"/>
              </w:rPr>
              <w:t>20</w:t>
            </w:r>
          </w:p>
        </w:tc>
        <w:tc>
          <w:tcPr>
            <w:tcW w:w="1349" w:type="dxa"/>
            <w:tcBorders>
              <w:top w:val="single" w:color="auto" w:sz="8" w:space="0"/>
              <w:left w:val="nil"/>
              <w:bottom w:val="single" w:color="auto" w:sz="8" w:space="0"/>
              <w:right w:val="single" w:color="auto" w:sz="4" w:space="0"/>
            </w:tcBorders>
            <w:vAlign w:val="center"/>
          </w:tcPr>
          <w:p>
            <w:pPr>
              <w:keepNext w:val="0"/>
              <w:keepLines w:val="0"/>
              <w:widowControl/>
              <w:suppressLineNumbers w:val="0"/>
              <w:jc w:val="center"/>
              <w:textAlignment w:val="center"/>
              <w:rPr>
                <w:rFonts w:ascii="宋体" w:hAnsi="宋体" w:cs="宋体"/>
              </w:rPr>
            </w:pPr>
            <w:r>
              <w:rPr>
                <w:rFonts w:hint="eastAsia" w:ascii="宋体" w:hAnsi="宋体" w:eastAsia="宋体" w:cs="宋体"/>
                <w:i w:val="0"/>
                <w:iCs w:val="0"/>
                <w:color w:val="000000"/>
                <w:kern w:val="0"/>
                <w:sz w:val="22"/>
                <w:szCs w:val="22"/>
                <w:u w:val="none"/>
                <w:lang w:val="en-US" w:eastAsia="zh-CN" w:bidi="ar"/>
              </w:rPr>
              <w:t>40</w:t>
            </w:r>
          </w:p>
        </w:tc>
        <w:tc>
          <w:tcPr>
            <w:tcW w:w="1451" w:type="dxa"/>
            <w:tcBorders>
              <w:top w:val="single" w:color="auto" w:sz="8" w:space="0"/>
              <w:left w:val="nil"/>
              <w:bottom w:val="single" w:color="auto" w:sz="8" w:space="0"/>
              <w:right w:val="single" w:color="auto" w:sz="4" w:space="0"/>
            </w:tcBorders>
            <w:vAlign w:val="center"/>
          </w:tcPr>
          <w:p>
            <w:pPr>
              <w:keepNext w:val="0"/>
              <w:keepLines w:val="0"/>
              <w:widowControl/>
              <w:suppressLineNumbers w:val="0"/>
              <w:jc w:val="center"/>
              <w:textAlignment w:val="center"/>
              <w:rPr>
                <w:rFonts w:ascii="宋体" w:hAnsi="宋体" w:cs="宋体"/>
              </w:rPr>
            </w:pPr>
            <w:r>
              <w:rPr>
                <w:rFonts w:hint="eastAsia" w:ascii="宋体" w:hAnsi="宋体" w:eastAsia="宋体" w:cs="宋体"/>
                <w:i w:val="0"/>
                <w:iCs w:val="0"/>
                <w:color w:val="000000"/>
                <w:kern w:val="0"/>
                <w:sz w:val="22"/>
                <w:szCs w:val="22"/>
                <w:u w:val="none"/>
                <w:lang w:val="en-US" w:eastAsia="zh-CN" w:bidi="ar"/>
              </w:rPr>
              <w:t>60</w:t>
            </w:r>
          </w:p>
        </w:tc>
        <w:tc>
          <w:tcPr>
            <w:tcW w:w="1576" w:type="dxa"/>
            <w:tcBorders>
              <w:top w:val="single" w:color="auto" w:sz="8" w:space="0"/>
              <w:left w:val="nil"/>
              <w:bottom w:val="single" w:color="auto" w:sz="8" w:space="0"/>
              <w:right w:val="single" w:color="auto" w:sz="4" w:space="0"/>
            </w:tcBorders>
            <w:vAlign w:val="center"/>
          </w:tcPr>
          <w:p>
            <w:pPr>
              <w:keepNext w:val="0"/>
              <w:keepLines w:val="0"/>
              <w:widowControl/>
              <w:suppressLineNumbers w:val="0"/>
              <w:jc w:val="center"/>
              <w:textAlignment w:val="center"/>
              <w:rPr>
                <w:rFonts w:ascii="宋体" w:hAnsi="宋体" w:cs="宋体"/>
              </w:rPr>
            </w:pPr>
            <w:r>
              <w:rPr>
                <w:rFonts w:hint="eastAsia" w:ascii="宋体" w:hAnsi="宋体" w:eastAsia="宋体" w:cs="宋体"/>
                <w:i w:val="0"/>
                <w:iCs w:val="0"/>
                <w:color w:val="000000"/>
                <w:kern w:val="0"/>
                <w:sz w:val="22"/>
                <w:szCs w:val="22"/>
                <w:u w:val="none"/>
                <w:lang w:val="en-US" w:eastAsia="zh-CN" w:bidi="ar"/>
              </w:rPr>
              <w:t>80</w:t>
            </w:r>
          </w:p>
        </w:tc>
        <w:tc>
          <w:tcPr>
            <w:tcW w:w="1264" w:type="dxa"/>
            <w:tcBorders>
              <w:top w:val="single" w:color="auto" w:sz="8" w:space="0"/>
              <w:left w:val="nil"/>
              <w:bottom w:val="single" w:color="auto" w:sz="8" w:space="0"/>
              <w:right w:val="single" w:color="auto" w:sz="4" w:space="0"/>
            </w:tcBorders>
            <w:vAlign w:val="center"/>
          </w:tcPr>
          <w:p>
            <w:pPr>
              <w:keepNext w:val="0"/>
              <w:keepLines w:val="0"/>
              <w:widowControl/>
              <w:suppressLineNumbers w:val="0"/>
              <w:jc w:val="center"/>
              <w:textAlignment w:val="center"/>
              <w:rPr>
                <w:rFonts w:ascii="宋体" w:hAnsi="宋体" w:cs="宋体"/>
              </w:rPr>
            </w:pPr>
            <w:r>
              <w:rPr>
                <w:rFonts w:hint="eastAsia" w:ascii="宋体" w:hAnsi="宋体" w:eastAsia="宋体" w:cs="宋体"/>
                <w:i w:val="0"/>
                <w:iCs w:val="0"/>
                <w:color w:val="000000"/>
                <w:kern w:val="0"/>
                <w:sz w:val="22"/>
                <w:szCs w:val="22"/>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666" w:type="dxa"/>
            <w:vMerge w:val="continue"/>
            <w:tcBorders>
              <w:left w:val="single" w:color="auto" w:sz="4" w:space="0"/>
              <w:right w:val="single" w:color="auto" w:sz="4" w:space="0"/>
            </w:tcBorders>
            <w:vAlign w:val="center"/>
          </w:tcPr>
          <w:p>
            <w:pPr>
              <w:adjustRightInd/>
              <w:spacing w:line="240" w:lineRule="auto"/>
              <w:jc w:val="center"/>
              <w:rPr>
                <w:rFonts w:ascii="宋体" w:hAnsi="宋体" w:cs="宋体"/>
              </w:rPr>
            </w:pPr>
          </w:p>
        </w:tc>
        <w:tc>
          <w:tcPr>
            <w:tcW w:w="954" w:type="dxa"/>
            <w:vMerge w:val="continue"/>
            <w:tcBorders>
              <w:left w:val="nil"/>
              <w:bottom w:val="single" w:color="auto" w:sz="8" w:space="0"/>
              <w:right w:val="single" w:color="auto" w:sz="4" w:space="0"/>
            </w:tcBorders>
            <w:vAlign w:val="center"/>
          </w:tcPr>
          <w:p>
            <w:pPr>
              <w:adjustRightInd/>
              <w:spacing w:line="240" w:lineRule="auto"/>
              <w:jc w:val="center"/>
              <w:rPr>
                <w:rFonts w:ascii="宋体" w:hAnsi="宋体" w:cs="宋体"/>
              </w:rPr>
            </w:pPr>
          </w:p>
        </w:tc>
        <w:tc>
          <w:tcPr>
            <w:tcW w:w="1376" w:type="dxa"/>
            <w:tcBorders>
              <w:top w:val="single" w:color="auto" w:sz="8" w:space="0"/>
              <w:left w:val="nil"/>
              <w:bottom w:val="single" w:color="auto" w:sz="8" w:space="0"/>
              <w:right w:val="single" w:color="auto" w:sz="4" w:space="0"/>
            </w:tcBorders>
            <w:vAlign w:val="center"/>
          </w:tcPr>
          <w:p>
            <w:pPr>
              <w:adjustRightInd/>
              <w:spacing w:line="240" w:lineRule="auto"/>
              <w:jc w:val="center"/>
              <w:rPr>
                <w:rFonts w:ascii="宋体" w:hAnsi="宋体" w:cs="宋体"/>
              </w:rPr>
            </w:pPr>
            <w:r>
              <w:rPr>
                <w:rFonts w:ascii="宋体" w:hAnsi="宋体" w:cs="宋体"/>
              </w:rPr>
              <w:t>0≤A2＜30</w:t>
            </w:r>
          </w:p>
        </w:tc>
        <w:tc>
          <w:tcPr>
            <w:tcW w:w="1349" w:type="dxa"/>
            <w:tcBorders>
              <w:top w:val="single" w:color="auto" w:sz="8" w:space="0"/>
              <w:left w:val="nil"/>
              <w:bottom w:val="single" w:color="auto" w:sz="8" w:space="0"/>
              <w:right w:val="single" w:color="auto" w:sz="4" w:space="0"/>
            </w:tcBorders>
            <w:vAlign w:val="center"/>
          </w:tcPr>
          <w:p>
            <w:pPr>
              <w:adjustRightInd/>
              <w:spacing w:line="240" w:lineRule="auto"/>
              <w:jc w:val="center"/>
              <w:rPr>
                <w:rFonts w:ascii="宋体" w:hAnsi="宋体" w:cs="宋体"/>
              </w:rPr>
            </w:pPr>
            <w:r>
              <w:rPr>
                <w:rFonts w:ascii="宋体" w:hAnsi="宋体" w:cs="宋体"/>
              </w:rPr>
              <w:t>30≤A2＜50</w:t>
            </w:r>
          </w:p>
        </w:tc>
        <w:tc>
          <w:tcPr>
            <w:tcW w:w="1451" w:type="dxa"/>
            <w:tcBorders>
              <w:top w:val="single" w:color="auto" w:sz="8" w:space="0"/>
              <w:left w:val="nil"/>
              <w:bottom w:val="single" w:color="auto" w:sz="8" w:space="0"/>
              <w:right w:val="single" w:color="auto" w:sz="4" w:space="0"/>
            </w:tcBorders>
            <w:vAlign w:val="center"/>
          </w:tcPr>
          <w:p>
            <w:pPr>
              <w:adjustRightInd/>
              <w:spacing w:line="240" w:lineRule="auto"/>
              <w:jc w:val="center"/>
              <w:rPr>
                <w:rFonts w:ascii="宋体" w:hAnsi="宋体" w:cs="宋体"/>
              </w:rPr>
            </w:pPr>
            <w:r>
              <w:rPr>
                <w:rFonts w:ascii="宋体" w:hAnsi="宋体" w:cs="宋体"/>
              </w:rPr>
              <w:t>50≤A2＜100</w:t>
            </w:r>
          </w:p>
        </w:tc>
        <w:tc>
          <w:tcPr>
            <w:tcW w:w="1576" w:type="dxa"/>
            <w:tcBorders>
              <w:top w:val="single" w:color="auto" w:sz="8" w:space="0"/>
              <w:left w:val="nil"/>
              <w:bottom w:val="single" w:color="auto" w:sz="8" w:space="0"/>
              <w:right w:val="single" w:color="auto" w:sz="4" w:space="0"/>
            </w:tcBorders>
            <w:vAlign w:val="center"/>
          </w:tcPr>
          <w:p>
            <w:pPr>
              <w:adjustRightInd/>
              <w:spacing w:line="240" w:lineRule="auto"/>
              <w:jc w:val="center"/>
              <w:rPr>
                <w:rFonts w:ascii="宋体" w:hAnsi="宋体" w:cs="宋体"/>
              </w:rPr>
            </w:pPr>
            <w:r>
              <w:rPr>
                <w:rFonts w:ascii="宋体" w:hAnsi="宋体" w:cs="宋体"/>
              </w:rPr>
              <w:t>100≤A2＜200</w:t>
            </w:r>
          </w:p>
        </w:tc>
        <w:tc>
          <w:tcPr>
            <w:tcW w:w="1264" w:type="dxa"/>
            <w:tcBorders>
              <w:top w:val="single" w:color="auto" w:sz="8" w:space="0"/>
              <w:left w:val="nil"/>
              <w:bottom w:val="single" w:color="auto" w:sz="8" w:space="0"/>
              <w:right w:val="single" w:color="auto" w:sz="4" w:space="0"/>
            </w:tcBorders>
            <w:vAlign w:val="center"/>
          </w:tcPr>
          <w:p>
            <w:pPr>
              <w:adjustRightInd/>
              <w:spacing w:line="240" w:lineRule="auto"/>
              <w:jc w:val="center"/>
              <w:rPr>
                <w:rFonts w:ascii="宋体" w:hAnsi="宋体" w:cs="宋体"/>
              </w:rPr>
            </w:pPr>
            <w:r>
              <w:rPr>
                <w:rFonts w:ascii="宋体" w:hAnsi="宋体" w:cs="宋体"/>
              </w:rPr>
              <w:t>200≤A2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666" w:type="dxa"/>
            <w:vMerge w:val="continue"/>
            <w:tcBorders>
              <w:left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954" w:type="dxa"/>
            <w:vMerge w:val="restart"/>
            <w:tcBorders>
              <w:top w:val="single" w:color="auto" w:sz="8" w:space="0"/>
              <w:left w:val="nil"/>
              <w:bottom w:val="single" w:color="auto" w:sz="4" w:space="0"/>
              <w:right w:val="single" w:color="auto" w:sz="6" w:space="0"/>
            </w:tcBorders>
            <w:vAlign w:val="center"/>
          </w:tcPr>
          <w:p>
            <w:pPr>
              <w:adjustRightInd/>
              <w:spacing w:line="240" w:lineRule="auto"/>
              <w:jc w:val="center"/>
              <w:rPr>
                <w:rFonts w:hint="eastAsia" w:ascii="宋体" w:hAnsi="宋体" w:eastAsia="宋体" w:cs="宋体"/>
                <w:lang w:eastAsia="zh-CN"/>
              </w:rPr>
            </w:pPr>
            <w:r>
              <w:rPr>
                <w:rFonts w:ascii="宋体" w:hAnsi="宋体" w:cs="宋体"/>
              </w:rPr>
              <w:t>海外发明专利申请量A</w:t>
            </w:r>
            <w:r>
              <w:rPr>
                <w:rFonts w:hint="eastAsia" w:ascii="宋体" w:hAnsi="宋体" w:cs="宋体"/>
                <w:lang w:val="en-US" w:eastAsia="zh-CN"/>
              </w:rPr>
              <w:t>2</w:t>
            </w:r>
          </w:p>
        </w:tc>
        <w:tc>
          <w:tcPr>
            <w:tcW w:w="7016" w:type="dxa"/>
            <w:gridSpan w:val="5"/>
            <w:tcBorders>
              <w:top w:val="single" w:color="auto" w:sz="8" w:space="0"/>
              <w:left w:val="single" w:color="auto" w:sz="6" w:space="0"/>
              <w:bottom w:val="single" w:color="auto" w:sz="4" w:space="0"/>
              <w:right w:val="single" w:color="auto" w:sz="6" w:space="0"/>
            </w:tcBorders>
            <w:vAlign w:val="center"/>
          </w:tcPr>
          <w:p>
            <w:pPr>
              <w:adjustRightInd/>
              <w:spacing w:line="240" w:lineRule="auto"/>
              <w:jc w:val="center"/>
              <w:rPr>
                <w:rFonts w:hint="eastAsia" w:ascii="宋体" w:hAnsi="宋体" w:cs="宋体"/>
              </w:rPr>
            </w:pPr>
            <w:r>
              <w:rPr>
                <w:rFonts w:ascii="宋体" w:hAnsi="宋体" w:cs="宋体"/>
              </w:rPr>
              <w:t>最低</w:t>
            </w:r>
            <w:r>
              <w:rPr>
                <w:rFonts w:hint="eastAsia" w:ascii="宋体" w:hAnsi="宋体" w:cs="宋体"/>
                <w:lang w:val="en-US" w:eastAsia="zh-CN"/>
              </w:rPr>
              <w:t>60</w:t>
            </w:r>
            <w:r>
              <w:rPr>
                <w:rFonts w:ascii="宋体" w:hAnsi="宋体" w:cs="宋体"/>
              </w:rPr>
              <w:t>分，最高</w:t>
            </w:r>
            <w:r>
              <w:rPr>
                <w:rFonts w:hint="eastAsia" w:ascii="宋体" w:hAnsi="宋体" w:cs="宋体"/>
                <w:lang w:val="en-US" w:eastAsia="zh-CN"/>
              </w:rPr>
              <w:t>100</w:t>
            </w:r>
            <w:r>
              <w:rPr>
                <w:rFonts w:ascii="宋体" w:hAnsi="宋体" w:cs="宋体"/>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666" w:type="dxa"/>
            <w:vMerge w:val="continue"/>
            <w:tcBorders>
              <w:left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954" w:type="dxa"/>
            <w:vMerge w:val="continue"/>
            <w:tcBorders>
              <w:top w:val="single" w:color="auto" w:sz="4" w:space="0"/>
              <w:left w:val="nil"/>
              <w:bottom w:val="single" w:color="auto" w:sz="4" w:space="0"/>
              <w:right w:val="single" w:color="auto" w:sz="6" w:space="0"/>
            </w:tcBorders>
            <w:vAlign w:val="center"/>
          </w:tcPr>
          <w:p>
            <w:pPr>
              <w:adjustRightInd/>
              <w:spacing w:line="240" w:lineRule="auto"/>
              <w:jc w:val="center"/>
              <w:rPr>
                <w:rFonts w:hint="eastAsia" w:ascii="宋体" w:hAnsi="宋体" w:cs="宋体"/>
              </w:rPr>
            </w:pPr>
          </w:p>
        </w:tc>
        <w:tc>
          <w:tcPr>
            <w:tcW w:w="1376" w:type="dxa"/>
            <w:tcBorders>
              <w:top w:val="single" w:color="auto" w:sz="4" w:space="0"/>
              <w:left w:val="single" w:color="auto" w:sz="6"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60</w:t>
            </w:r>
          </w:p>
        </w:tc>
        <w:tc>
          <w:tcPr>
            <w:tcW w:w="134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70</w:t>
            </w:r>
          </w:p>
        </w:tc>
        <w:tc>
          <w:tcPr>
            <w:tcW w:w="145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80</w:t>
            </w:r>
          </w:p>
        </w:tc>
        <w:tc>
          <w:tcPr>
            <w:tcW w:w="157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90</w:t>
            </w:r>
          </w:p>
        </w:tc>
        <w:tc>
          <w:tcPr>
            <w:tcW w:w="1264" w:type="dxa"/>
            <w:tcBorders>
              <w:top w:val="single" w:color="auto" w:sz="4" w:space="0"/>
              <w:left w:val="single" w:color="auto" w:sz="4" w:space="0"/>
              <w:bottom w:val="single" w:color="auto" w:sz="4" w:space="0"/>
              <w:right w:val="single" w:color="auto" w:sz="6"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666" w:type="dxa"/>
            <w:vMerge w:val="continue"/>
            <w:tcBorders>
              <w:left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954" w:type="dxa"/>
            <w:vMerge w:val="continue"/>
            <w:tcBorders>
              <w:top w:val="nil"/>
              <w:left w:val="nil"/>
              <w:bottom w:val="single" w:color="auto" w:sz="8" w:space="0"/>
              <w:right w:val="single" w:color="auto" w:sz="6" w:space="0"/>
            </w:tcBorders>
            <w:vAlign w:val="center"/>
          </w:tcPr>
          <w:p>
            <w:pPr>
              <w:adjustRightInd/>
              <w:spacing w:line="240" w:lineRule="auto"/>
              <w:jc w:val="center"/>
              <w:rPr>
                <w:rFonts w:hint="eastAsia" w:ascii="宋体" w:hAnsi="宋体" w:cs="宋体"/>
              </w:rPr>
            </w:pPr>
          </w:p>
        </w:tc>
        <w:tc>
          <w:tcPr>
            <w:tcW w:w="1376" w:type="dxa"/>
            <w:tcBorders>
              <w:top w:val="single" w:color="auto" w:sz="4" w:space="0"/>
              <w:left w:val="single" w:color="auto" w:sz="6" w:space="0"/>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0≤A1＜1</w:t>
            </w:r>
          </w:p>
        </w:tc>
        <w:tc>
          <w:tcPr>
            <w:tcW w:w="1349" w:type="dxa"/>
            <w:tcBorders>
              <w:top w:val="single" w:color="auto" w:sz="4" w:space="0"/>
              <w:left w:val="single" w:color="auto" w:sz="4" w:space="0"/>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1≤A1＜2</w:t>
            </w:r>
          </w:p>
        </w:tc>
        <w:tc>
          <w:tcPr>
            <w:tcW w:w="1451" w:type="dxa"/>
            <w:tcBorders>
              <w:top w:val="single" w:color="auto" w:sz="4" w:space="0"/>
              <w:left w:val="single" w:color="auto" w:sz="4" w:space="0"/>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2≤A1＜3</w:t>
            </w:r>
          </w:p>
        </w:tc>
        <w:tc>
          <w:tcPr>
            <w:tcW w:w="1576" w:type="dxa"/>
            <w:tcBorders>
              <w:top w:val="single" w:color="auto" w:sz="4" w:space="0"/>
              <w:left w:val="single" w:color="auto" w:sz="4" w:space="0"/>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3≤A1＜4</w:t>
            </w:r>
          </w:p>
        </w:tc>
        <w:tc>
          <w:tcPr>
            <w:tcW w:w="1264" w:type="dxa"/>
            <w:tcBorders>
              <w:top w:val="single" w:color="auto" w:sz="4" w:space="0"/>
              <w:left w:val="single" w:color="auto" w:sz="4" w:space="0"/>
              <w:bottom w:val="single" w:color="auto" w:sz="8" w:space="0"/>
              <w:right w:val="single" w:color="auto" w:sz="6" w:space="0"/>
            </w:tcBorders>
            <w:vAlign w:val="center"/>
          </w:tcPr>
          <w:p>
            <w:pPr>
              <w:adjustRightInd/>
              <w:spacing w:line="240" w:lineRule="auto"/>
              <w:jc w:val="center"/>
              <w:rPr>
                <w:rFonts w:hint="eastAsia" w:ascii="宋体" w:hAnsi="宋体" w:cs="宋体"/>
              </w:rPr>
            </w:pPr>
            <w:r>
              <w:rPr>
                <w:rFonts w:ascii="宋体" w:hAnsi="宋体" w:cs="宋体"/>
              </w:rPr>
              <w:t>4≤A1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66" w:type="dxa"/>
            <w:vMerge w:val="continue"/>
            <w:tcBorders>
              <w:left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954" w:type="dxa"/>
            <w:vMerge w:val="restart"/>
            <w:tcBorders>
              <w:top w:val="single" w:color="auto" w:sz="8" w:space="0"/>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发明专利申请领域聚类度A3</w:t>
            </w:r>
          </w:p>
        </w:tc>
        <w:tc>
          <w:tcPr>
            <w:tcW w:w="7016" w:type="dxa"/>
            <w:gridSpan w:val="5"/>
            <w:tcBorders>
              <w:top w:val="single" w:color="auto" w:sz="8" w:space="0"/>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最低</w:t>
            </w:r>
            <w:r>
              <w:rPr>
                <w:rFonts w:hint="eastAsia" w:ascii="宋体" w:hAnsi="宋体" w:cs="宋体"/>
                <w:lang w:val="en-US" w:eastAsia="zh-CN"/>
              </w:rPr>
              <w:t>20</w:t>
            </w:r>
            <w:r>
              <w:rPr>
                <w:rFonts w:ascii="宋体" w:hAnsi="宋体" w:cs="宋体"/>
              </w:rPr>
              <w:t>分，最高</w:t>
            </w:r>
            <w:r>
              <w:rPr>
                <w:rFonts w:hint="eastAsia" w:ascii="宋体" w:hAnsi="宋体" w:cs="宋体"/>
                <w:lang w:val="en-US" w:eastAsia="zh-CN"/>
              </w:rPr>
              <w:t>100</w:t>
            </w:r>
            <w:r>
              <w:rPr>
                <w:rFonts w:ascii="宋体" w:hAnsi="宋体" w:cs="宋体"/>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666" w:type="dxa"/>
            <w:vMerge w:val="continue"/>
            <w:tcBorders>
              <w:left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954" w:type="dxa"/>
            <w:vMerge w:val="continue"/>
            <w:tcBorders>
              <w:top w:val="nil"/>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13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20</w:t>
            </w:r>
          </w:p>
        </w:tc>
        <w:tc>
          <w:tcPr>
            <w:tcW w:w="134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40</w:t>
            </w:r>
          </w:p>
        </w:tc>
        <w:tc>
          <w:tcPr>
            <w:tcW w:w="14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60</w:t>
            </w:r>
          </w:p>
        </w:tc>
        <w:tc>
          <w:tcPr>
            <w:tcW w:w="15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80</w:t>
            </w:r>
          </w:p>
        </w:tc>
        <w:tc>
          <w:tcPr>
            <w:tcW w:w="126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666" w:type="dxa"/>
            <w:vMerge w:val="continue"/>
            <w:tcBorders>
              <w:left w:val="single" w:color="auto" w:sz="4" w:space="0"/>
              <w:bottom w:val="single" w:color="auto" w:sz="8" w:space="0"/>
              <w:right w:val="single" w:color="auto" w:sz="4" w:space="0"/>
            </w:tcBorders>
            <w:vAlign w:val="center"/>
          </w:tcPr>
          <w:p>
            <w:pPr>
              <w:adjustRightInd/>
              <w:spacing w:line="240" w:lineRule="auto"/>
              <w:jc w:val="center"/>
              <w:rPr>
                <w:rFonts w:hint="eastAsia" w:ascii="宋体" w:hAnsi="宋体" w:cs="宋体"/>
              </w:rPr>
            </w:pPr>
          </w:p>
        </w:tc>
        <w:tc>
          <w:tcPr>
            <w:tcW w:w="954" w:type="dxa"/>
            <w:vMerge w:val="continue"/>
            <w:tcBorders>
              <w:top w:val="nil"/>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p>
        </w:tc>
        <w:tc>
          <w:tcPr>
            <w:tcW w:w="1376" w:type="dxa"/>
            <w:tcBorders>
              <w:top w:val="single" w:color="auto" w:sz="4" w:space="0"/>
              <w:left w:val="nil"/>
              <w:bottom w:val="single" w:color="auto" w:sz="8" w:space="0"/>
              <w:right w:val="single" w:color="auto" w:sz="4" w:space="0"/>
            </w:tcBorders>
          </w:tcPr>
          <w:p>
            <w:pPr>
              <w:adjustRightInd/>
              <w:spacing w:line="240" w:lineRule="auto"/>
              <w:jc w:val="center"/>
              <w:rPr>
                <w:rFonts w:ascii="宋体" w:hAnsi="宋体" w:cs="宋体"/>
              </w:rPr>
            </w:pPr>
            <w:r>
              <w:rPr>
                <w:rFonts w:ascii="宋体" w:hAnsi="宋体" w:cs="宋体"/>
              </w:rPr>
              <w:t>0%≤A3</w:t>
            </w:r>
          </w:p>
          <w:p>
            <w:pPr>
              <w:adjustRightInd/>
              <w:spacing w:line="240" w:lineRule="auto"/>
              <w:jc w:val="center"/>
              <w:rPr>
                <w:rFonts w:hint="eastAsia" w:ascii="宋体" w:hAnsi="宋体" w:cs="宋体"/>
              </w:rPr>
            </w:pPr>
            <w:r>
              <w:rPr>
                <w:rFonts w:ascii="宋体" w:hAnsi="宋体" w:cs="宋体"/>
              </w:rPr>
              <w:t>＜3%</w:t>
            </w:r>
          </w:p>
        </w:tc>
        <w:tc>
          <w:tcPr>
            <w:tcW w:w="1349" w:type="dxa"/>
            <w:tcBorders>
              <w:top w:val="single" w:color="auto" w:sz="4" w:space="0"/>
              <w:left w:val="nil"/>
              <w:bottom w:val="single" w:color="auto" w:sz="8" w:space="0"/>
              <w:right w:val="single" w:color="auto" w:sz="4" w:space="0"/>
            </w:tcBorders>
          </w:tcPr>
          <w:p>
            <w:pPr>
              <w:adjustRightInd/>
              <w:spacing w:line="240" w:lineRule="auto"/>
              <w:jc w:val="center"/>
              <w:rPr>
                <w:rFonts w:ascii="宋体" w:hAnsi="宋体" w:cs="宋体"/>
              </w:rPr>
            </w:pPr>
            <w:r>
              <w:rPr>
                <w:rFonts w:ascii="宋体" w:hAnsi="宋体" w:cs="宋体"/>
              </w:rPr>
              <w:t>3%≤A3</w:t>
            </w:r>
          </w:p>
          <w:p>
            <w:pPr>
              <w:adjustRightInd/>
              <w:spacing w:line="240" w:lineRule="auto"/>
              <w:jc w:val="center"/>
              <w:rPr>
                <w:rFonts w:hint="eastAsia" w:ascii="宋体" w:hAnsi="宋体" w:cs="宋体"/>
              </w:rPr>
            </w:pPr>
            <w:r>
              <w:rPr>
                <w:rFonts w:ascii="宋体" w:hAnsi="宋体" w:cs="宋体"/>
              </w:rPr>
              <w:t>＜6%</w:t>
            </w:r>
          </w:p>
        </w:tc>
        <w:tc>
          <w:tcPr>
            <w:tcW w:w="1451" w:type="dxa"/>
            <w:tcBorders>
              <w:top w:val="single" w:color="auto" w:sz="4" w:space="0"/>
              <w:left w:val="nil"/>
              <w:bottom w:val="single" w:color="auto" w:sz="8" w:space="0"/>
              <w:right w:val="single" w:color="auto" w:sz="4" w:space="0"/>
            </w:tcBorders>
          </w:tcPr>
          <w:p>
            <w:pPr>
              <w:adjustRightInd/>
              <w:spacing w:line="240" w:lineRule="auto"/>
              <w:jc w:val="center"/>
              <w:rPr>
                <w:rFonts w:ascii="宋体" w:hAnsi="宋体" w:cs="宋体"/>
              </w:rPr>
            </w:pPr>
            <w:r>
              <w:rPr>
                <w:rFonts w:ascii="宋体" w:hAnsi="宋体" w:cs="宋体"/>
              </w:rPr>
              <w:t>6%≤A3</w:t>
            </w:r>
          </w:p>
          <w:p>
            <w:pPr>
              <w:adjustRightInd/>
              <w:spacing w:line="240" w:lineRule="auto"/>
              <w:jc w:val="center"/>
              <w:rPr>
                <w:rFonts w:hint="eastAsia" w:ascii="宋体" w:hAnsi="宋体" w:cs="宋体"/>
              </w:rPr>
            </w:pPr>
            <w:r>
              <w:rPr>
                <w:rFonts w:ascii="宋体" w:hAnsi="宋体" w:cs="宋体"/>
              </w:rPr>
              <w:t>＜9%</w:t>
            </w:r>
          </w:p>
        </w:tc>
        <w:tc>
          <w:tcPr>
            <w:tcW w:w="1576" w:type="dxa"/>
            <w:tcBorders>
              <w:top w:val="single" w:color="auto" w:sz="4" w:space="0"/>
              <w:left w:val="nil"/>
              <w:bottom w:val="single" w:color="auto" w:sz="8" w:space="0"/>
              <w:right w:val="single" w:color="auto" w:sz="4" w:space="0"/>
            </w:tcBorders>
          </w:tcPr>
          <w:p>
            <w:pPr>
              <w:adjustRightInd/>
              <w:spacing w:line="240" w:lineRule="auto"/>
              <w:jc w:val="center"/>
              <w:rPr>
                <w:rFonts w:ascii="宋体" w:hAnsi="宋体" w:cs="宋体"/>
              </w:rPr>
            </w:pPr>
            <w:r>
              <w:rPr>
                <w:rFonts w:ascii="宋体" w:hAnsi="宋体" w:cs="宋体"/>
              </w:rPr>
              <w:t>9%≤A3</w:t>
            </w:r>
          </w:p>
          <w:p>
            <w:pPr>
              <w:adjustRightInd/>
              <w:spacing w:line="240" w:lineRule="auto"/>
              <w:jc w:val="center"/>
              <w:rPr>
                <w:rFonts w:hint="eastAsia" w:ascii="宋体" w:hAnsi="宋体" w:cs="宋体"/>
              </w:rPr>
            </w:pPr>
            <w:r>
              <w:rPr>
                <w:rFonts w:ascii="宋体" w:hAnsi="宋体" w:cs="宋体"/>
              </w:rPr>
              <w:t>＜12%</w:t>
            </w:r>
          </w:p>
        </w:tc>
        <w:tc>
          <w:tcPr>
            <w:tcW w:w="1264" w:type="dxa"/>
            <w:tcBorders>
              <w:top w:val="single" w:color="auto" w:sz="4" w:space="0"/>
              <w:left w:val="nil"/>
              <w:bottom w:val="single" w:color="auto" w:sz="8" w:space="0"/>
              <w:right w:val="single" w:color="auto" w:sz="4" w:space="0"/>
            </w:tcBorders>
          </w:tcPr>
          <w:p>
            <w:pPr>
              <w:adjustRightInd/>
              <w:spacing w:line="240" w:lineRule="auto"/>
              <w:jc w:val="center"/>
              <w:rPr>
                <w:rFonts w:hint="eastAsia" w:ascii="宋体" w:hAnsi="宋体" w:cs="宋体"/>
              </w:rPr>
            </w:pPr>
            <w:r>
              <w:rPr>
                <w:rFonts w:ascii="宋体" w:hAnsi="宋体" w:cs="宋体"/>
              </w:rPr>
              <w:t>12%≤A3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66" w:type="dxa"/>
            <w:vMerge w:val="restart"/>
            <w:tcBorders>
              <w:top w:val="single" w:color="auto" w:sz="8" w:space="0"/>
              <w:left w:val="single" w:color="auto" w:sz="4" w:space="0"/>
              <w:bottom w:val="single" w:color="auto" w:sz="4" w:space="0"/>
              <w:right w:val="single" w:color="auto" w:sz="4" w:space="0"/>
            </w:tcBorders>
            <w:vAlign w:val="center"/>
          </w:tcPr>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r>
              <w:rPr>
                <w:rFonts w:ascii="宋体" w:hAnsi="宋体" w:cs="宋体"/>
              </w:rPr>
              <w:t>专利布局能力B</w:t>
            </w:r>
          </w:p>
        </w:tc>
        <w:tc>
          <w:tcPr>
            <w:tcW w:w="954" w:type="dxa"/>
            <w:vMerge w:val="restart"/>
            <w:tcBorders>
              <w:top w:val="single" w:color="auto" w:sz="8" w:space="0"/>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独立权利要求数量B1</w:t>
            </w:r>
          </w:p>
        </w:tc>
        <w:tc>
          <w:tcPr>
            <w:tcW w:w="7016" w:type="dxa"/>
            <w:gridSpan w:val="5"/>
            <w:tcBorders>
              <w:top w:val="single" w:color="auto" w:sz="8" w:space="0"/>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r>
              <w:rPr>
                <w:rFonts w:hint="eastAsia" w:ascii="宋体" w:hAnsi="宋体" w:cs="宋体"/>
              </w:rPr>
              <w:t>最低60分，最高100分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66" w:type="dxa"/>
            <w:vMerge w:val="continue"/>
            <w:tcBorders>
              <w:top w:val="nil"/>
              <w:left w:val="single" w:color="auto" w:sz="4" w:space="0"/>
              <w:bottom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954" w:type="dxa"/>
            <w:vMerge w:val="continue"/>
            <w:tcBorders>
              <w:top w:val="nil"/>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13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60</w:t>
            </w:r>
          </w:p>
        </w:tc>
        <w:tc>
          <w:tcPr>
            <w:tcW w:w="134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70</w:t>
            </w:r>
          </w:p>
        </w:tc>
        <w:tc>
          <w:tcPr>
            <w:tcW w:w="14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80</w:t>
            </w:r>
          </w:p>
        </w:tc>
        <w:tc>
          <w:tcPr>
            <w:tcW w:w="15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90</w:t>
            </w:r>
          </w:p>
        </w:tc>
        <w:tc>
          <w:tcPr>
            <w:tcW w:w="126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6" w:type="dxa"/>
            <w:vMerge w:val="continue"/>
            <w:tcBorders>
              <w:top w:val="nil"/>
              <w:left w:val="single" w:color="auto" w:sz="4" w:space="0"/>
              <w:bottom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954" w:type="dxa"/>
            <w:vMerge w:val="continue"/>
            <w:tcBorders>
              <w:top w:val="nil"/>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p>
        </w:tc>
        <w:tc>
          <w:tcPr>
            <w:tcW w:w="1376"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ascii="宋体" w:hAnsi="宋体" w:cs="宋体"/>
              </w:rPr>
            </w:pPr>
            <w:r>
              <w:rPr>
                <w:rFonts w:ascii="宋体" w:hAnsi="宋体" w:cs="宋体"/>
              </w:rPr>
              <w:t>0≤B1</w:t>
            </w:r>
          </w:p>
          <w:p>
            <w:pPr>
              <w:adjustRightInd/>
              <w:spacing w:line="240" w:lineRule="auto"/>
              <w:jc w:val="center"/>
              <w:rPr>
                <w:rFonts w:hint="eastAsia" w:ascii="宋体" w:hAnsi="宋体" w:cs="宋体"/>
              </w:rPr>
            </w:pPr>
            <w:r>
              <w:rPr>
                <w:rFonts w:ascii="宋体" w:hAnsi="宋体" w:cs="宋体"/>
              </w:rPr>
              <w:t>＜1.10</w:t>
            </w:r>
          </w:p>
        </w:tc>
        <w:tc>
          <w:tcPr>
            <w:tcW w:w="1349"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ascii="宋体" w:hAnsi="宋体" w:cs="宋体"/>
              </w:rPr>
            </w:pPr>
            <w:r>
              <w:rPr>
                <w:rFonts w:ascii="宋体" w:hAnsi="宋体" w:cs="宋体"/>
              </w:rPr>
              <w:t>1.10≤B1</w:t>
            </w:r>
          </w:p>
          <w:p>
            <w:pPr>
              <w:adjustRightInd/>
              <w:spacing w:line="240" w:lineRule="auto"/>
              <w:jc w:val="center"/>
              <w:rPr>
                <w:rFonts w:hint="eastAsia" w:ascii="宋体" w:hAnsi="宋体" w:cs="宋体"/>
              </w:rPr>
            </w:pPr>
            <w:r>
              <w:rPr>
                <w:rFonts w:ascii="宋体" w:hAnsi="宋体" w:cs="宋体"/>
              </w:rPr>
              <w:t>＜1.20</w:t>
            </w:r>
          </w:p>
        </w:tc>
        <w:tc>
          <w:tcPr>
            <w:tcW w:w="1451"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ascii="宋体" w:hAnsi="宋体" w:cs="宋体"/>
              </w:rPr>
            </w:pPr>
            <w:r>
              <w:rPr>
                <w:rFonts w:ascii="宋体" w:hAnsi="宋体" w:cs="宋体"/>
              </w:rPr>
              <w:t>1.20≤B1</w:t>
            </w:r>
          </w:p>
          <w:p>
            <w:pPr>
              <w:adjustRightInd/>
              <w:spacing w:line="240" w:lineRule="auto"/>
              <w:jc w:val="center"/>
              <w:rPr>
                <w:rFonts w:hint="eastAsia" w:ascii="宋体" w:hAnsi="宋体" w:cs="宋体"/>
              </w:rPr>
            </w:pPr>
            <w:r>
              <w:rPr>
                <w:rFonts w:ascii="宋体" w:hAnsi="宋体" w:cs="宋体"/>
              </w:rPr>
              <w:t>＜1.30</w:t>
            </w:r>
          </w:p>
        </w:tc>
        <w:tc>
          <w:tcPr>
            <w:tcW w:w="1576"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ascii="宋体" w:hAnsi="宋体" w:cs="宋体"/>
              </w:rPr>
            </w:pPr>
            <w:r>
              <w:rPr>
                <w:rFonts w:ascii="宋体" w:hAnsi="宋体" w:cs="宋体"/>
              </w:rPr>
              <w:t>1.30≤B1</w:t>
            </w:r>
          </w:p>
          <w:p>
            <w:pPr>
              <w:adjustRightInd/>
              <w:spacing w:line="240" w:lineRule="auto"/>
              <w:jc w:val="center"/>
              <w:rPr>
                <w:rFonts w:hint="eastAsia" w:ascii="宋体" w:hAnsi="宋体" w:cs="宋体"/>
              </w:rPr>
            </w:pPr>
            <w:r>
              <w:rPr>
                <w:rFonts w:ascii="宋体" w:hAnsi="宋体" w:cs="宋体"/>
              </w:rPr>
              <w:t>＜1.40</w:t>
            </w:r>
          </w:p>
        </w:tc>
        <w:tc>
          <w:tcPr>
            <w:tcW w:w="1264"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1.40≤B1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666" w:type="dxa"/>
            <w:vMerge w:val="continue"/>
            <w:tcBorders>
              <w:top w:val="nil"/>
              <w:left w:val="single" w:color="auto" w:sz="4" w:space="0"/>
              <w:bottom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954" w:type="dxa"/>
            <w:vMerge w:val="restart"/>
            <w:tcBorders>
              <w:top w:val="single" w:color="auto" w:sz="8" w:space="0"/>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权利要求数量B2</w:t>
            </w:r>
          </w:p>
        </w:tc>
        <w:tc>
          <w:tcPr>
            <w:tcW w:w="7016" w:type="dxa"/>
            <w:gridSpan w:val="5"/>
            <w:tcBorders>
              <w:top w:val="single" w:color="auto" w:sz="8" w:space="0"/>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r>
              <w:rPr>
                <w:rFonts w:hint="eastAsia" w:ascii="宋体" w:hAnsi="宋体" w:cs="宋体"/>
              </w:rPr>
              <w:t>最低20分，最高100分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666" w:type="dxa"/>
            <w:vMerge w:val="continue"/>
            <w:tcBorders>
              <w:top w:val="nil"/>
              <w:left w:val="single" w:color="auto" w:sz="4" w:space="0"/>
              <w:bottom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954" w:type="dxa"/>
            <w:vMerge w:val="continue"/>
            <w:tcBorders>
              <w:top w:val="nil"/>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13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20</w:t>
            </w:r>
          </w:p>
        </w:tc>
        <w:tc>
          <w:tcPr>
            <w:tcW w:w="134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40</w:t>
            </w:r>
          </w:p>
        </w:tc>
        <w:tc>
          <w:tcPr>
            <w:tcW w:w="14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60</w:t>
            </w:r>
          </w:p>
        </w:tc>
        <w:tc>
          <w:tcPr>
            <w:tcW w:w="15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80</w:t>
            </w:r>
          </w:p>
        </w:tc>
        <w:tc>
          <w:tcPr>
            <w:tcW w:w="126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666" w:type="dxa"/>
            <w:vMerge w:val="continue"/>
            <w:tcBorders>
              <w:top w:val="nil"/>
              <w:left w:val="single" w:color="auto" w:sz="4" w:space="0"/>
              <w:bottom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954" w:type="dxa"/>
            <w:vMerge w:val="continue"/>
            <w:tcBorders>
              <w:top w:val="nil"/>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p>
        </w:tc>
        <w:tc>
          <w:tcPr>
            <w:tcW w:w="1376"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ascii="宋体" w:hAnsi="宋体" w:cs="宋体"/>
              </w:rPr>
            </w:pPr>
            <w:r>
              <w:rPr>
                <w:rFonts w:ascii="宋体" w:hAnsi="宋体" w:cs="宋体"/>
              </w:rPr>
              <w:t>1.00≤B2</w:t>
            </w:r>
          </w:p>
          <w:p>
            <w:pPr>
              <w:adjustRightInd/>
              <w:spacing w:line="240" w:lineRule="auto"/>
              <w:jc w:val="center"/>
              <w:rPr>
                <w:rFonts w:hint="eastAsia" w:ascii="宋体" w:hAnsi="宋体" w:cs="宋体"/>
              </w:rPr>
            </w:pPr>
            <w:r>
              <w:rPr>
                <w:rFonts w:ascii="宋体" w:hAnsi="宋体" w:cs="宋体"/>
              </w:rPr>
              <w:t>＜3.00</w:t>
            </w:r>
          </w:p>
        </w:tc>
        <w:tc>
          <w:tcPr>
            <w:tcW w:w="1349"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ascii="宋体" w:hAnsi="宋体" w:cs="宋体"/>
              </w:rPr>
            </w:pPr>
            <w:r>
              <w:rPr>
                <w:rFonts w:ascii="宋体" w:hAnsi="宋体" w:cs="宋体"/>
              </w:rPr>
              <w:t>3.00≤B2</w:t>
            </w:r>
          </w:p>
          <w:p>
            <w:pPr>
              <w:adjustRightInd/>
              <w:spacing w:line="240" w:lineRule="auto"/>
              <w:jc w:val="center"/>
              <w:rPr>
                <w:rFonts w:hint="eastAsia" w:ascii="宋体" w:hAnsi="宋体" w:cs="宋体"/>
              </w:rPr>
            </w:pPr>
            <w:r>
              <w:rPr>
                <w:rFonts w:ascii="宋体" w:hAnsi="宋体" w:cs="宋体"/>
              </w:rPr>
              <w:t>＜5.00</w:t>
            </w:r>
          </w:p>
        </w:tc>
        <w:tc>
          <w:tcPr>
            <w:tcW w:w="1451"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ascii="宋体" w:hAnsi="宋体" w:cs="宋体"/>
              </w:rPr>
            </w:pPr>
            <w:r>
              <w:rPr>
                <w:rFonts w:ascii="宋体" w:hAnsi="宋体" w:cs="宋体"/>
              </w:rPr>
              <w:t>5.00≤B2</w:t>
            </w:r>
          </w:p>
          <w:p>
            <w:pPr>
              <w:adjustRightInd/>
              <w:spacing w:line="240" w:lineRule="auto"/>
              <w:jc w:val="center"/>
              <w:rPr>
                <w:rFonts w:hint="eastAsia" w:ascii="宋体" w:hAnsi="宋体" w:cs="宋体"/>
              </w:rPr>
            </w:pPr>
            <w:r>
              <w:rPr>
                <w:rFonts w:ascii="宋体" w:hAnsi="宋体" w:cs="宋体"/>
              </w:rPr>
              <w:t>＜7.00</w:t>
            </w:r>
          </w:p>
        </w:tc>
        <w:tc>
          <w:tcPr>
            <w:tcW w:w="1576"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ascii="宋体" w:hAnsi="宋体" w:cs="宋体"/>
              </w:rPr>
            </w:pPr>
            <w:r>
              <w:rPr>
                <w:rFonts w:ascii="宋体" w:hAnsi="宋体" w:cs="宋体"/>
              </w:rPr>
              <w:t>7.00≤B2</w:t>
            </w:r>
          </w:p>
          <w:p>
            <w:pPr>
              <w:adjustRightInd/>
              <w:spacing w:line="240" w:lineRule="auto"/>
              <w:jc w:val="center"/>
              <w:rPr>
                <w:rFonts w:hint="eastAsia" w:ascii="宋体" w:hAnsi="宋体" w:cs="宋体"/>
              </w:rPr>
            </w:pPr>
            <w:r>
              <w:rPr>
                <w:rFonts w:ascii="宋体" w:hAnsi="宋体" w:cs="宋体"/>
              </w:rPr>
              <w:t>＜9.00</w:t>
            </w:r>
          </w:p>
        </w:tc>
        <w:tc>
          <w:tcPr>
            <w:tcW w:w="1264"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9.00≤B2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666" w:type="dxa"/>
            <w:vMerge w:val="continue"/>
            <w:tcBorders>
              <w:top w:val="nil"/>
              <w:left w:val="single" w:color="auto" w:sz="4" w:space="0"/>
              <w:bottom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954" w:type="dxa"/>
            <w:vMerge w:val="restart"/>
            <w:tcBorders>
              <w:top w:val="single" w:color="auto" w:sz="8" w:space="0"/>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权利要求变化量B3</w:t>
            </w:r>
          </w:p>
        </w:tc>
        <w:tc>
          <w:tcPr>
            <w:tcW w:w="7016" w:type="dxa"/>
            <w:gridSpan w:val="5"/>
            <w:tcBorders>
              <w:top w:val="single" w:color="auto" w:sz="8" w:space="0"/>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r>
              <w:rPr>
                <w:rFonts w:hint="eastAsia" w:ascii="宋体" w:hAnsi="宋体" w:cs="宋体"/>
              </w:rPr>
              <w:t>最低20分，最高100分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66" w:type="dxa"/>
            <w:vMerge w:val="continue"/>
            <w:tcBorders>
              <w:top w:val="nil"/>
              <w:left w:val="single" w:color="auto" w:sz="4" w:space="0"/>
              <w:bottom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954" w:type="dxa"/>
            <w:vMerge w:val="continue"/>
            <w:tcBorders>
              <w:top w:val="nil"/>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13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20</w:t>
            </w:r>
          </w:p>
        </w:tc>
        <w:tc>
          <w:tcPr>
            <w:tcW w:w="134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40</w:t>
            </w:r>
          </w:p>
        </w:tc>
        <w:tc>
          <w:tcPr>
            <w:tcW w:w="14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60</w:t>
            </w:r>
          </w:p>
        </w:tc>
        <w:tc>
          <w:tcPr>
            <w:tcW w:w="15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80</w:t>
            </w:r>
          </w:p>
        </w:tc>
        <w:tc>
          <w:tcPr>
            <w:tcW w:w="126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666" w:type="dxa"/>
            <w:vMerge w:val="continue"/>
            <w:tcBorders>
              <w:top w:val="nil"/>
              <w:left w:val="single" w:color="auto" w:sz="4" w:space="0"/>
              <w:bottom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954" w:type="dxa"/>
            <w:vMerge w:val="continue"/>
            <w:tcBorders>
              <w:top w:val="nil"/>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p>
        </w:tc>
        <w:tc>
          <w:tcPr>
            <w:tcW w:w="1376"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4.00≤B3</w:t>
            </w:r>
          </w:p>
        </w:tc>
        <w:tc>
          <w:tcPr>
            <w:tcW w:w="1349"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ascii="宋体" w:hAnsi="宋体" w:cs="宋体"/>
              </w:rPr>
            </w:pPr>
            <w:r>
              <w:rPr>
                <w:rFonts w:ascii="宋体" w:hAnsi="宋体" w:cs="宋体"/>
              </w:rPr>
              <w:t>3.00≤B3</w:t>
            </w:r>
          </w:p>
          <w:p>
            <w:pPr>
              <w:adjustRightInd/>
              <w:spacing w:line="240" w:lineRule="auto"/>
              <w:jc w:val="center"/>
              <w:rPr>
                <w:rFonts w:hint="eastAsia" w:ascii="宋体" w:hAnsi="宋体" w:cs="宋体"/>
              </w:rPr>
            </w:pPr>
            <w:r>
              <w:rPr>
                <w:rFonts w:ascii="宋体" w:hAnsi="宋体" w:cs="宋体"/>
              </w:rPr>
              <w:t>＜4.00</w:t>
            </w:r>
          </w:p>
        </w:tc>
        <w:tc>
          <w:tcPr>
            <w:tcW w:w="1451"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ascii="宋体" w:hAnsi="宋体" w:cs="宋体"/>
              </w:rPr>
            </w:pPr>
            <w:r>
              <w:rPr>
                <w:rFonts w:ascii="宋体" w:hAnsi="宋体" w:cs="宋体"/>
              </w:rPr>
              <w:t>2.00≤B3</w:t>
            </w:r>
          </w:p>
          <w:p>
            <w:pPr>
              <w:adjustRightInd/>
              <w:spacing w:line="240" w:lineRule="auto"/>
              <w:jc w:val="center"/>
              <w:rPr>
                <w:rFonts w:hint="eastAsia" w:ascii="宋体" w:hAnsi="宋体" w:cs="宋体"/>
              </w:rPr>
            </w:pPr>
            <w:r>
              <w:rPr>
                <w:rFonts w:ascii="宋体" w:hAnsi="宋体" w:cs="宋体"/>
              </w:rPr>
              <w:t>＜3.00</w:t>
            </w:r>
          </w:p>
        </w:tc>
        <w:tc>
          <w:tcPr>
            <w:tcW w:w="1576"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ascii="宋体" w:hAnsi="宋体" w:cs="宋体"/>
              </w:rPr>
            </w:pPr>
            <w:r>
              <w:rPr>
                <w:rFonts w:ascii="宋体" w:hAnsi="宋体" w:cs="宋体"/>
              </w:rPr>
              <w:t>1.00≤B3</w:t>
            </w:r>
          </w:p>
          <w:p>
            <w:pPr>
              <w:adjustRightInd/>
              <w:spacing w:line="240" w:lineRule="auto"/>
              <w:jc w:val="center"/>
              <w:rPr>
                <w:rFonts w:hint="eastAsia" w:ascii="宋体" w:hAnsi="宋体" w:cs="宋体"/>
              </w:rPr>
            </w:pPr>
            <w:r>
              <w:rPr>
                <w:rFonts w:ascii="宋体" w:hAnsi="宋体" w:cs="宋体"/>
              </w:rPr>
              <w:t>＜2.00</w:t>
            </w:r>
          </w:p>
        </w:tc>
        <w:tc>
          <w:tcPr>
            <w:tcW w:w="1264"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-999.00≤B3＜1.00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666" w:type="dxa"/>
            <w:vMerge w:val="continue"/>
            <w:tcBorders>
              <w:top w:val="nil"/>
              <w:left w:val="single" w:color="auto" w:sz="4" w:space="0"/>
              <w:bottom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954" w:type="dxa"/>
            <w:vMerge w:val="restart"/>
            <w:tcBorders>
              <w:top w:val="single" w:color="auto" w:sz="8" w:space="0"/>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第一独立权利要求字数B4</w:t>
            </w:r>
          </w:p>
        </w:tc>
        <w:tc>
          <w:tcPr>
            <w:tcW w:w="7016" w:type="dxa"/>
            <w:gridSpan w:val="5"/>
            <w:tcBorders>
              <w:top w:val="single" w:color="auto" w:sz="8" w:space="0"/>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r>
              <w:rPr>
                <w:rFonts w:hint="eastAsia" w:ascii="宋体" w:hAnsi="宋体" w:cs="宋体"/>
              </w:rPr>
              <w:t>最低20分，最高100分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666" w:type="dxa"/>
            <w:vMerge w:val="continue"/>
            <w:tcBorders>
              <w:top w:val="nil"/>
              <w:left w:val="single" w:color="auto" w:sz="4" w:space="0"/>
              <w:bottom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954" w:type="dxa"/>
            <w:vMerge w:val="continue"/>
            <w:tcBorders>
              <w:top w:val="nil"/>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13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20</w:t>
            </w:r>
          </w:p>
        </w:tc>
        <w:tc>
          <w:tcPr>
            <w:tcW w:w="134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40</w:t>
            </w:r>
          </w:p>
        </w:tc>
        <w:tc>
          <w:tcPr>
            <w:tcW w:w="14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60</w:t>
            </w:r>
          </w:p>
        </w:tc>
        <w:tc>
          <w:tcPr>
            <w:tcW w:w="15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80</w:t>
            </w:r>
          </w:p>
        </w:tc>
        <w:tc>
          <w:tcPr>
            <w:tcW w:w="126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666" w:type="dxa"/>
            <w:vMerge w:val="continue"/>
            <w:tcBorders>
              <w:top w:val="nil"/>
              <w:left w:val="single" w:color="auto" w:sz="4" w:space="0"/>
              <w:bottom w:val="single" w:color="auto" w:sz="8" w:space="0"/>
              <w:right w:val="single" w:color="auto" w:sz="4" w:space="0"/>
            </w:tcBorders>
            <w:vAlign w:val="center"/>
          </w:tcPr>
          <w:p>
            <w:pPr>
              <w:adjustRightInd/>
              <w:spacing w:line="240" w:lineRule="auto"/>
              <w:jc w:val="center"/>
              <w:rPr>
                <w:rFonts w:hint="eastAsia" w:ascii="宋体" w:hAnsi="宋体" w:cs="宋体"/>
              </w:rPr>
            </w:pPr>
          </w:p>
        </w:tc>
        <w:tc>
          <w:tcPr>
            <w:tcW w:w="954" w:type="dxa"/>
            <w:vMerge w:val="continue"/>
            <w:tcBorders>
              <w:top w:val="nil"/>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p>
        </w:tc>
        <w:tc>
          <w:tcPr>
            <w:tcW w:w="1376"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1000.00≤B4</w:t>
            </w:r>
          </w:p>
        </w:tc>
        <w:tc>
          <w:tcPr>
            <w:tcW w:w="1349"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800.00≤B4＜1000.00</w:t>
            </w:r>
          </w:p>
        </w:tc>
        <w:tc>
          <w:tcPr>
            <w:tcW w:w="1451"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ascii="宋体" w:hAnsi="宋体" w:cs="宋体"/>
              </w:rPr>
            </w:pPr>
            <w:r>
              <w:rPr>
                <w:rFonts w:ascii="宋体" w:hAnsi="宋体" w:cs="宋体"/>
              </w:rPr>
              <w:t>600.00≤B4</w:t>
            </w:r>
          </w:p>
          <w:p>
            <w:pPr>
              <w:adjustRightInd/>
              <w:spacing w:line="240" w:lineRule="auto"/>
              <w:jc w:val="center"/>
              <w:rPr>
                <w:rFonts w:hint="eastAsia" w:ascii="宋体" w:hAnsi="宋体" w:cs="宋体"/>
              </w:rPr>
            </w:pPr>
            <w:r>
              <w:rPr>
                <w:rFonts w:ascii="宋体" w:hAnsi="宋体" w:cs="宋体"/>
              </w:rPr>
              <w:t>＜800.00</w:t>
            </w:r>
          </w:p>
        </w:tc>
        <w:tc>
          <w:tcPr>
            <w:tcW w:w="1576"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ascii="宋体" w:hAnsi="宋体" w:cs="宋体"/>
              </w:rPr>
            </w:pPr>
            <w:r>
              <w:rPr>
                <w:rFonts w:ascii="宋体" w:hAnsi="宋体" w:cs="宋体"/>
              </w:rPr>
              <w:t>400.00≤B4</w:t>
            </w:r>
          </w:p>
          <w:p>
            <w:pPr>
              <w:adjustRightInd/>
              <w:spacing w:line="240" w:lineRule="auto"/>
              <w:jc w:val="center"/>
              <w:rPr>
                <w:rFonts w:hint="eastAsia" w:ascii="宋体" w:hAnsi="宋体" w:cs="宋体"/>
              </w:rPr>
            </w:pPr>
            <w:r>
              <w:rPr>
                <w:rFonts w:ascii="宋体" w:hAnsi="宋体" w:cs="宋体"/>
              </w:rPr>
              <w:t>＜600.00</w:t>
            </w:r>
          </w:p>
        </w:tc>
        <w:tc>
          <w:tcPr>
            <w:tcW w:w="1264"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hint="eastAsia" w:ascii="宋体" w:hAnsi="宋体" w:cs="宋体"/>
                <w:highlight w:val="none"/>
              </w:rPr>
            </w:pPr>
            <w:r>
              <w:rPr>
                <w:rFonts w:ascii="宋体" w:hAnsi="宋体" w:cs="宋体"/>
                <w:highlight w:val="none"/>
              </w:rPr>
              <w:t>-999</w:t>
            </w:r>
            <w:r>
              <w:rPr>
                <w:rFonts w:hint="eastAsia" w:ascii="宋体" w:hAnsi="宋体" w:cs="宋体"/>
                <w:highlight w:val="none"/>
                <w:lang w:val="en-US" w:eastAsia="zh-CN"/>
              </w:rPr>
              <w:t>9</w:t>
            </w:r>
            <w:r>
              <w:rPr>
                <w:rFonts w:ascii="宋体" w:hAnsi="宋体" w:cs="宋体"/>
                <w:highlight w:val="none"/>
              </w:rPr>
              <w:t>.00≤B4＜400.00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66" w:type="dxa"/>
            <w:vMerge w:val="continue"/>
            <w:tcBorders>
              <w:top w:val="single" w:color="auto" w:sz="8" w:space="0"/>
              <w:left w:val="single" w:color="auto" w:sz="4" w:space="0"/>
              <w:bottom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954" w:type="dxa"/>
            <w:vMerge w:val="restart"/>
            <w:tcBorders>
              <w:top w:val="single" w:color="auto" w:sz="8" w:space="0"/>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第一独立权利要求字数变化量B5</w:t>
            </w:r>
          </w:p>
        </w:tc>
        <w:tc>
          <w:tcPr>
            <w:tcW w:w="7016" w:type="dxa"/>
            <w:gridSpan w:val="5"/>
            <w:tcBorders>
              <w:top w:val="single" w:color="auto" w:sz="8" w:space="0"/>
              <w:left w:val="nil"/>
              <w:bottom w:val="single" w:color="auto" w:sz="4" w:space="0"/>
              <w:right w:val="single" w:color="auto" w:sz="4" w:space="0"/>
            </w:tcBorders>
          </w:tcPr>
          <w:p>
            <w:pPr>
              <w:adjustRightInd/>
              <w:spacing w:line="240" w:lineRule="auto"/>
              <w:jc w:val="center"/>
              <w:rPr>
                <w:rFonts w:hint="eastAsia" w:ascii="宋体" w:hAnsi="宋体" w:cs="宋体"/>
              </w:rPr>
            </w:pPr>
            <w:r>
              <w:rPr>
                <w:rFonts w:hint="eastAsia" w:ascii="宋体" w:hAnsi="宋体" w:cs="宋体"/>
              </w:rPr>
              <w:t>最低20分，最高100分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66" w:type="dxa"/>
            <w:vMerge w:val="continue"/>
            <w:tcBorders>
              <w:top w:val="nil"/>
              <w:left w:val="single" w:color="auto" w:sz="4" w:space="0"/>
              <w:bottom w:val="single" w:color="auto" w:sz="4" w:space="0"/>
              <w:right w:val="single" w:color="auto" w:sz="4" w:space="0"/>
            </w:tcBorders>
            <w:vAlign w:val="center"/>
          </w:tcPr>
          <w:p>
            <w:pPr>
              <w:adjustRightInd/>
              <w:spacing w:line="240" w:lineRule="auto"/>
              <w:rPr>
                <w:rFonts w:hint="eastAsia" w:ascii="宋体" w:hAnsi="宋体" w:cs="宋体"/>
                <w:sz w:val="20"/>
                <w:szCs w:val="20"/>
              </w:rPr>
            </w:pPr>
          </w:p>
        </w:tc>
        <w:tc>
          <w:tcPr>
            <w:tcW w:w="954" w:type="dxa"/>
            <w:vMerge w:val="continue"/>
            <w:tcBorders>
              <w:top w:val="nil"/>
              <w:left w:val="nil"/>
              <w:bottom w:val="single" w:color="auto" w:sz="4" w:space="0"/>
              <w:right w:val="single" w:color="auto" w:sz="4" w:space="0"/>
            </w:tcBorders>
            <w:vAlign w:val="center"/>
          </w:tcPr>
          <w:p>
            <w:pPr>
              <w:adjustRightInd/>
              <w:spacing w:line="240" w:lineRule="auto"/>
              <w:rPr>
                <w:rFonts w:hint="eastAsia" w:ascii="宋体" w:hAnsi="宋体" w:cs="宋体"/>
              </w:rPr>
            </w:pPr>
          </w:p>
        </w:tc>
        <w:tc>
          <w:tcPr>
            <w:tcW w:w="13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20</w:t>
            </w:r>
          </w:p>
        </w:tc>
        <w:tc>
          <w:tcPr>
            <w:tcW w:w="134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40</w:t>
            </w:r>
          </w:p>
        </w:tc>
        <w:tc>
          <w:tcPr>
            <w:tcW w:w="14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60</w:t>
            </w:r>
          </w:p>
        </w:tc>
        <w:tc>
          <w:tcPr>
            <w:tcW w:w="15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80</w:t>
            </w:r>
          </w:p>
        </w:tc>
        <w:tc>
          <w:tcPr>
            <w:tcW w:w="126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66" w:type="dxa"/>
            <w:vMerge w:val="continue"/>
            <w:tcBorders>
              <w:top w:val="nil"/>
              <w:left w:val="single" w:color="auto" w:sz="4" w:space="0"/>
              <w:bottom w:val="single" w:color="auto" w:sz="4" w:space="0"/>
              <w:right w:val="single" w:color="auto" w:sz="4" w:space="0"/>
            </w:tcBorders>
            <w:vAlign w:val="center"/>
          </w:tcPr>
          <w:p>
            <w:pPr>
              <w:adjustRightInd/>
              <w:spacing w:line="240" w:lineRule="auto"/>
              <w:rPr>
                <w:rFonts w:hint="eastAsia" w:ascii="宋体" w:hAnsi="宋体" w:cs="宋体"/>
                <w:sz w:val="20"/>
                <w:szCs w:val="20"/>
              </w:rPr>
            </w:pPr>
          </w:p>
        </w:tc>
        <w:tc>
          <w:tcPr>
            <w:tcW w:w="954" w:type="dxa"/>
            <w:vMerge w:val="continue"/>
            <w:tcBorders>
              <w:top w:val="nil"/>
              <w:left w:val="nil"/>
              <w:bottom w:val="single" w:color="auto" w:sz="8" w:space="0"/>
              <w:right w:val="single" w:color="auto" w:sz="4" w:space="0"/>
            </w:tcBorders>
            <w:vAlign w:val="center"/>
          </w:tcPr>
          <w:p>
            <w:pPr>
              <w:adjustRightInd/>
              <w:spacing w:line="240" w:lineRule="auto"/>
              <w:rPr>
                <w:rFonts w:hint="eastAsia" w:ascii="宋体" w:hAnsi="宋体" w:cs="宋体"/>
              </w:rPr>
            </w:pPr>
          </w:p>
        </w:tc>
        <w:tc>
          <w:tcPr>
            <w:tcW w:w="1376"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500.00≤B5</w:t>
            </w:r>
          </w:p>
        </w:tc>
        <w:tc>
          <w:tcPr>
            <w:tcW w:w="1349"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400.00≤B5＜500.00</w:t>
            </w:r>
          </w:p>
        </w:tc>
        <w:tc>
          <w:tcPr>
            <w:tcW w:w="1451"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ascii="宋体" w:hAnsi="宋体" w:cs="宋体"/>
              </w:rPr>
            </w:pPr>
            <w:r>
              <w:rPr>
                <w:rFonts w:ascii="宋体" w:hAnsi="宋体" w:cs="宋体"/>
              </w:rPr>
              <w:t>300.00≤B5</w:t>
            </w:r>
          </w:p>
          <w:p>
            <w:pPr>
              <w:adjustRightInd/>
              <w:spacing w:line="240" w:lineRule="auto"/>
              <w:jc w:val="center"/>
              <w:rPr>
                <w:rFonts w:hint="eastAsia" w:ascii="宋体" w:hAnsi="宋体" w:cs="宋体"/>
              </w:rPr>
            </w:pPr>
            <w:r>
              <w:rPr>
                <w:rFonts w:ascii="宋体" w:hAnsi="宋体" w:cs="宋体"/>
              </w:rPr>
              <w:t>＜400.00</w:t>
            </w:r>
          </w:p>
        </w:tc>
        <w:tc>
          <w:tcPr>
            <w:tcW w:w="1576"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ascii="宋体" w:hAnsi="宋体" w:cs="宋体"/>
              </w:rPr>
            </w:pPr>
            <w:r>
              <w:rPr>
                <w:rFonts w:ascii="宋体" w:hAnsi="宋体" w:cs="宋体"/>
              </w:rPr>
              <w:t>200.00≤B5</w:t>
            </w:r>
          </w:p>
          <w:p>
            <w:pPr>
              <w:adjustRightInd/>
              <w:spacing w:line="240" w:lineRule="auto"/>
              <w:jc w:val="center"/>
              <w:rPr>
                <w:rFonts w:hint="eastAsia" w:ascii="宋体" w:hAnsi="宋体" w:cs="宋体"/>
              </w:rPr>
            </w:pPr>
            <w:r>
              <w:rPr>
                <w:rFonts w:ascii="宋体" w:hAnsi="宋体" w:cs="宋体"/>
              </w:rPr>
              <w:t>＜300.00</w:t>
            </w:r>
          </w:p>
        </w:tc>
        <w:tc>
          <w:tcPr>
            <w:tcW w:w="1264"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0≤B5＜200.00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666" w:type="dxa"/>
            <w:vMerge w:val="continue"/>
            <w:tcBorders>
              <w:top w:val="nil"/>
              <w:left w:val="single" w:color="auto" w:sz="4" w:space="0"/>
              <w:bottom w:val="single" w:color="auto" w:sz="4" w:space="0"/>
              <w:right w:val="single" w:color="auto" w:sz="4" w:space="0"/>
            </w:tcBorders>
            <w:vAlign w:val="center"/>
          </w:tcPr>
          <w:p>
            <w:pPr>
              <w:adjustRightInd/>
              <w:spacing w:line="240" w:lineRule="auto"/>
              <w:rPr>
                <w:rFonts w:hint="eastAsia" w:ascii="宋体" w:hAnsi="宋体" w:cs="宋体"/>
                <w:sz w:val="20"/>
                <w:szCs w:val="20"/>
              </w:rPr>
            </w:pPr>
          </w:p>
        </w:tc>
        <w:tc>
          <w:tcPr>
            <w:tcW w:w="954" w:type="dxa"/>
            <w:vMerge w:val="restart"/>
            <w:tcBorders>
              <w:top w:val="single" w:color="auto" w:sz="8" w:space="0"/>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说明书页数B6</w:t>
            </w:r>
          </w:p>
        </w:tc>
        <w:tc>
          <w:tcPr>
            <w:tcW w:w="7016" w:type="dxa"/>
            <w:gridSpan w:val="5"/>
            <w:tcBorders>
              <w:top w:val="single" w:color="auto" w:sz="8" w:space="0"/>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r>
              <w:rPr>
                <w:rFonts w:hint="eastAsia" w:ascii="宋体" w:hAnsi="宋体" w:cs="宋体"/>
              </w:rPr>
              <w:t>最低20分，最高100分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66" w:type="dxa"/>
            <w:vMerge w:val="continue"/>
            <w:tcBorders>
              <w:top w:val="nil"/>
              <w:left w:val="single" w:color="auto" w:sz="4" w:space="0"/>
              <w:bottom w:val="single" w:color="auto" w:sz="4" w:space="0"/>
              <w:right w:val="single" w:color="auto" w:sz="4" w:space="0"/>
            </w:tcBorders>
            <w:vAlign w:val="center"/>
          </w:tcPr>
          <w:p>
            <w:pPr>
              <w:adjustRightInd/>
              <w:spacing w:line="240" w:lineRule="auto"/>
              <w:rPr>
                <w:rFonts w:hint="eastAsia" w:ascii="宋体" w:hAnsi="宋体" w:cs="宋体"/>
                <w:sz w:val="20"/>
                <w:szCs w:val="20"/>
              </w:rPr>
            </w:pPr>
          </w:p>
        </w:tc>
        <w:tc>
          <w:tcPr>
            <w:tcW w:w="954" w:type="dxa"/>
            <w:vMerge w:val="continue"/>
            <w:tcBorders>
              <w:top w:val="nil"/>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13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20</w:t>
            </w:r>
          </w:p>
        </w:tc>
        <w:tc>
          <w:tcPr>
            <w:tcW w:w="134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40</w:t>
            </w:r>
          </w:p>
        </w:tc>
        <w:tc>
          <w:tcPr>
            <w:tcW w:w="14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60</w:t>
            </w:r>
          </w:p>
        </w:tc>
        <w:tc>
          <w:tcPr>
            <w:tcW w:w="15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80</w:t>
            </w:r>
          </w:p>
        </w:tc>
        <w:tc>
          <w:tcPr>
            <w:tcW w:w="126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666" w:type="dxa"/>
            <w:vMerge w:val="continue"/>
            <w:tcBorders>
              <w:top w:val="nil"/>
              <w:left w:val="single" w:color="auto" w:sz="4" w:space="0"/>
              <w:bottom w:val="single" w:color="auto" w:sz="8" w:space="0"/>
              <w:right w:val="single" w:color="auto" w:sz="4" w:space="0"/>
            </w:tcBorders>
            <w:vAlign w:val="center"/>
          </w:tcPr>
          <w:p>
            <w:pPr>
              <w:adjustRightInd/>
              <w:spacing w:line="240" w:lineRule="auto"/>
              <w:rPr>
                <w:rFonts w:hint="eastAsia" w:ascii="宋体" w:hAnsi="宋体" w:cs="宋体"/>
                <w:sz w:val="20"/>
                <w:szCs w:val="20"/>
              </w:rPr>
            </w:pPr>
          </w:p>
        </w:tc>
        <w:tc>
          <w:tcPr>
            <w:tcW w:w="954" w:type="dxa"/>
            <w:vMerge w:val="continue"/>
            <w:tcBorders>
              <w:top w:val="nil"/>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p>
        </w:tc>
        <w:tc>
          <w:tcPr>
            <w:tcW w:w="1376"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ascii="宋体" w:hAnsi="宋体" w:cs="宋体"/>
              </w:rPr>
            </w:pPr>
            <w:r>
              <w:rPr>
                <w:rFonts w:ascii="宋体" w:hAnsi="宋体" w:cs="宋体"/>
              </w:rPr>
              <w:t>0.00≤B6</w:t>
            </w:r>
          </w:p>
          <w:p>
            <w:pPr>
              <w:adjustRightInd/>
              <w:spacing w:line="240" w:lineRule="auto"/>
              <w:jc w:val="center"/>
              <w:rPr>
                <w:rFonts w:hint="eastAsia" w:ascii="宋体" w:hAnsi="宋体" w:cs="宋体"/>
              </w:rPr>
            </w:pPr>
            <w:r>
              <w:rPr>
                <w:rFonts w:ascii="宋体" w:hAnsi="宋体" w:cs="宋体"/>
              </w:rPr>
              <w:t>＜2.00</w:t>
            </w:r>
          </w:p>
        </w:tc>
        <w:tc>
          <w:tcPr>
            <w:tcW w:w="1349"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ascii="宋体" w:hAnsi="宋体" w:cs="宋体"/>
              </w:rPr>
            </w:pPr>
            <w:r>
              <w:rPr>
                <w:rFonts w:ascii="宋体" w:hAnsi="宋体" w:cs="宋体"/>
              </w:rPr>
              <w:t>2.00≤B6</w:t>
            </w:r>
          </w:p>
          <w:p>
            <w:pPr>
              <w:adjustRightInd/>
              <w:spacing w:line="240" w:lineRule="auto"/>
              <w:jc w:val="center"/>
              <w:rPr>
                <w:rFonts w:hint="eastAsia" w:ascii="宋体" w:hAnsi="宋体" w:cs="宋体"/>
              </w:rPr>
            </w:pPr>
            <w:r>
              <w:rPr>
                <w:rFonts w:ascii="宋体" w:hAnsi="宋体" w:cs="宋体"/>
              </w:rPr>
              <w:t>＜4.00</w:t>
            </w:r>
          </w:p>
        </w:tc>
        <w:tc>
          <w:tcPr>
            <w:tcW w:w="1451"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ascii="宋体" w:hAnsi="宋体" w:cs="宋体"/>
              </w:rPr>
            </w:pPr>
            <w:r>
              <w:rPr>
                <w:rFonts w:ascii="宋体" w:hAnsi="宋体" w:cs="宋体"/>
              </w:rPr>
              <w:t>4.00≤B6</w:t>
            </w:r>
          </w:p>
          <w:p>
            <w:pPr>
              <w:adjustRightInd/>
              <w:spacing w:line="240" w:lineRule="auto"/>
              <w:jc w:val="center"/>
              <w:rPr>
                <w:rFonts w:hint="eastAsia" w:ascii="宋体" w:hAnsi="宋体" w:cs="宋体"/>
              </w:rPr>
            </w:pPr>
            <w:r>
              <w:rPr>
                <w:rFonts w:ascii="宋体" w:hAnsi="宋体" w:cs="宋体"/>
              </w:rPr>
              <w:t>＜6.00</w:t>
            </w:r>
          </w:p>
        </w:tc>
        <w:tc>
          <w:tcPr>
            <w:tcW w:w="1576"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ascii="宋体" w:hAnsi="宋体" w:cs="宋体"/>
              </w:rPr>
            </w:pPr>
            <w:r>
              <w:rPr>
                <w:rFonts w:ascii="宋体" w:hAnsi="宋体" w:cs="宋体"/>
              </w:rPr>
              <w:t>6.00≤B6</w:t>
            </w:r>
          </w:p>
          <w:p>
            <w:pPr>
              <w:adjustRightInd/>
              <w:spacing w:line="240" w:lineRule="auto"/>
              <w:jc w:val="center"/>
              <w:rPr>
                <w:rFonts w:hint="eastAsia" w:ascii="宋体" w:hAnsi="宋体" w:cs="宋体"/>
              </w:rPr>
            </w:pPr>
            <w:r>
              <w:rPr>
                <w:rFonts w:ascii="宋体" w:hAnsi="宋体" w:cs="宋体"/>
              </w:rPr>
              <w:t>＜8.00</w:t>
            </w:r>
          </w:p>
        </w:tc>
        <w:tc>
          <w:tcPr>
            <w:tcW w:w="1264"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8.00≤B6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6" w:type="dxa"/>
            <w:vMerge w:val="restart"/>
            <w:tcBorders>
              <w:top w:val="single" w:color="auto" w:sz="8" w:space="0"/>
              <w:left w:val="single" w:color="auto" w:sz="4" w:space="0"/>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专利获权能力C</w:t>
            </w:r>
          </w:p>
        </w:tc>
        <w:tc>
          <w:tcPr>
            <w:tcW w:w="954" w:type="dxa"/>
            <w:vMerge w:val="restart"/>
            <w:tcBorders>
              <w:top w:val="single" w:color="auto" w:sz="8" w:space="0"/>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代理发明专利申请授权率C1</w:t>
            </w:r>
          </w:p>
        </w:tc>
        <w:tc>
          <w:tcPr>
            <w:tcW w:w="7016" w:type="dxa"/>
            <w:gridSpan w:val="5"/>
            <w:tcBorders>
              <w:top w:val="single" w:color="auto" w:sz="8" w:space="0"/>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hint="eastAsia" w:ascii="宋体" w:hAnsi="宋体" w:cs="宋体"/>
              </w:rPr>
              <w:t>最低20分，最高100分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666" w:type="dxa"/>
            <w:vMerge w:val="continue"/>
            <w:tcBorders>
              <w:top w:val="single" w:color="auto" w:sz="8" w:space="0"/>
              <w:left w:val="single" w:color="auto" w:sz="4" w:space="0"/>
              <w:bottom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954" w:type="dxa"/>
            <w:vMerge w:val="continue"/>
            <w:tcBorders>
              <w:top w:val="single" w:color="auto" w:sz="8" w:space="0"/>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1376" w:type="dxa"/>
            <w:tcBorders>
              <w:top w:val="single" w:color="auto" w:sz="8"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20</w:t>
            </w:r>
          </w:p>
        </w:tc>
        <w:tc>
          <w:tcPr>
            <w:tcW w:w="1349" w:type="dxa"/>
            <w:tcBorders>
              <w:top w:val="single" w:color="auto" w:sz="8"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40</w:t>
            </w:r>
          </w:p>
        </w:tc>
        <w:tc>
          <w:tcPr>
            <w:tcW w:w="1451" w:type="dxa"/>
            <w:tcBorders>
              <w:top w:val="single" w:color="auto" w:sz="8"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60</w:t>
            </w:r>
          </w:p>
        </w:tc>
        <w:tc>
          <w:tcPr>
            <w:tcW w:w="1576" w:type="dxa"/>
            <w:tcBorders>
              <w:top w:val="single" w:color="auto" w:sz="8"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80</w:t>
            </w:r>
          </w:p>
        </w:tc>
        <w:tc>
          <w:tcPr>
            <w:tcW w:w="1264" w:type="dxa"/>
            <w:tcBorders>
              <w:top w:val="single" w:color="auto" w:sz="8"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2"/>
                <w:szCs w:val="22"/>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66" w:type="dxa"/>
            <w:vMerge w:val="continue"/>
            <w:tcBorders>
              <w:top w:val="nil"/>
              <w:left w:val="single" w:color="auto" w:sz="4" w:space="0"/>
              <w:bottom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954" w:type="dxa"/>
            <w:vMerge w:val="continue"/>
            <w:tcBorders>
              <w:top w:val="nil"/>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p>
        </w:tc>
        <w:tc>
          <w:tcPr>
            <w:tcW w:w="1376"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ascii="宋体" w:hAnsi="宋体" w:cs="宋体"/>
              </w:rPr>
            </w:pPr>
            <w:r>
              <w:rPr>
                <w:rFonts w:ascii="宋体" w:hAnsi="宋体" w:cs="宋体"/>
              </w:rPr>
              <w:t>0%≤C1</w:t>
            </w:r>
          </w:p>
          <w:p>
            <w:pPr>
              <w:adjustRightInd/>
              <w:spacing w:line="240" w:lineRule="auto"/>
              <w:jc w:val="center"/>
              <w:rPr>
                <w:rFonts w:hint="eastAsia" w:ascii="宋体" w:hAnsi="宋体" w:cs="宋体"/>
              </w:rPr>
            </w:pPr>
            <w:r>
              <w:rPr>
                <w:rFonts w:ascii="宋体" w:hAnsi="宋体" w:cs="宋体"/>
              </w:rPr>
              <w:t>＜60.00%</w:t>
            </w:r>
          </w:p>
        </w:tc>
        <w:tc>
          <w:tcPr>
            <w:tcW w:w="1349"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60.00%≤C1＜70.00%</w:t>
            </w:r>
          </w:p>
        </w:tc>
        <w:tc>
          <w:tcPr>
            <w:tcW w:w="1451"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ascii="宋体" w:hAnsi="宋体" w:cs="宋体"/>
              </w:rPr>
            </w:pPr>
            <w:r>
              <w:rPr>
                <w:rFonts w:ascii="宋体" w:hAnsi="宋体" w:cs="宋体"/>
              </w:rPr>
              <w:t>70%≤C1</w:t>
            </w:r>
          </w:p>
          <w:p>
            <w:pPr>
              <w:adjustRightInd/>
              <w:spacing w:line="240" w:lineRule="auto"/>
              <w:jc w:val="center"/>
              <w:rPr>
                <w:rFonts w:hint="eastAsia" w:ascii="宋体" w:hAnsi="宋体" w:cs="宋体"/>
              </w:rPr>
            </w:pPr>
            <w:r>
              <w:rPr>
                <w:rFonts w:ascii="宋体" w:hAnsi="宋体" w:cs="宋体"/>
              </w:rPr>
              <w:t>＜80.00%</w:t>
            </w:r>
          </w:p>
        </w:tc>
        <w:tc>
          <w:tcPr>
            <w:tcW w:w="1576"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ascii="宋体" w:hAnsi="宋体" w:cs="宋体"/>
              </w:rPr>
            </w:pPr>
            <w:r>
              <w:rPr>
                <w:rFonts w:ascii="宋体" w:hAnsi="宋体" w:cs="宋体"/>
              </w:rPr>
              <w:t>80.00%≤C1</w:t>
            </w:r>
          </w:p>
          <w:p>
            <w:pPr>
              <w:adjustRightInd/>
              <w:spacing w:line="240" w:lineRule="auto"/>
              <w:jc w:val="center"/>
              <w:rPr>
                <w:rFonts w:hint="eastAsia" w:ascii="宋体" w:hAnsi="宋体" w:cs="宋体"/>
              </w:rPr>
            </w:pPr>
            <w:r>
              <w:rPr>
                <w:rFonts w:ascii="宋体" w:hAnsi="宋体" w:cs="宋体"/>
              </w:rPr>
              <w:t>＜90.00%</w:t>
            </w:r>
          </w:p>
        </w:tc>
        <w:tc>
          <w:tcPr>
            <w:tcW w:w="1264"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90.00%≤C1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66" w:type="dxa"/>
            <w:vMerge w:val="continue"/>
            <w:tcBorders>
              <w:top w:val="nil"/>
              <w:left w:val="single" w:color="auto" w:sz="4" w:space="0"/>
              <w:bottom w:val="single" w:color="auto" w:sz="4" w:space="0"/>
              <w:right w:val="single" w:color="auto" w:sz="4" w:space="0"/>
            </w:tcBorders>
            <w:vAlign w:val="center"/>
          </w:tcPr>
          <w:p>
            <w:pPr>
              <w:adjustRightInd/>
              <w:spacing w:line="240" w:lineRule="auto"/>
              <w:rPr>
                <w:rFonts w:hint="eastAsia" w:ascii="宋体" w:hAnsi="宋体" w:cs="宋体"/>
                <w:sz w:val="20"/>
                <w:szCs w:val="20"/>
              </w:rPr>
            </w:pPr>
          </w:p>
        </w:tc>
        <w:tc>
          <w:tcPr>
            <w:tcW w:w="954" w:type="dxa"/>
            <w:vMerge w:val="restart"/>
            <w:tcBorders>
              <w:top w:val="single" w:color="auto" w:sz="8" w:space="0"/>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代理发明专利申请撤回率C2</w:t>
            </w:r>
          </w:p>
        </w:tc>
        <w:tc>
          <w:tcPr>
            <w:tcW w:w="7016" w:type="dxa"/>
            <w:gridSpan w:val="5"/>
            <w:tcBorders>
              <w:top w:val="single" w:color="auto" w:sz="8" w:space="0"/>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最低-</w:t>
            </w:r>
            <w:r>
              <w:rPr>
                <w:rFonts w:hint="eastAsia" w:ascii="宋体" w:hAnsi="宋体" w:cs="宋体"/>
                <w:lang w:val="en-US" w:eastAsia="zh-CN"/>
              </w:rPr>
              <w:t>100</w:t>
            </w:r>
            <w:r>
              <w:rPr>
                <w:rFonts w:ascii="宋体" w:hAnsi="宋体" w:cs="宋体"/>
              </w:rPr>
              <w:t>分，最高</w:t>
            </w:r>
            <w:r>
              <w:rPr>
                <w:rFonts w:hint="eastAsia" w:ascii="宋体" w:hAnsi="宋体" w:cs="宋体"/>
                <w:lang w:val="en-US" w:eastAsia="zh-CN"/>
              </w:rPr>
              <w:t>100</w:t>
            </w:r>
            <w:r>
              <w:rPr>
                <w:rFonts w:ascii="宋体" w:hAnsi="宋体" w:cs="宋体"/>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666" w:type="dxa"/>
            <w:vMerge w:val="continue"/>
            <w:tcBorders>
              <w:top w:val="nil"/>
              <w:left w:val="single" w:color="auto" w:sz="4" w:space="0"/>
              <w:bottom w:val="single" w:color="auto" w:sz="4" w:space="0"/>
              <w:right w:val="single" w:color="auto" w:sz="4" w:space="0"/>
            </w:tcBorders>
            <w:vAlign w:val="center"/>
          </w:tcPr>
          <w:p>
            <w:pPr>
              <w:adjustRightInd/>
              <w:spacing w:line="240" w:lineRule="auto"/>
              <w:rPr>
                <w:rFonts w:hint="eastAsia" w:ascii="宋体" w:hAnsi="宋体" w:cs="宋体"/>
                <w:sz w:val="20"/>
                <w:szCs w:val="20"/>
              </w:rPr>
            </w:pPr>
          </w:p>
        </w:tc>
        <w:tc>
          <w:tcPr>
            <w:tcW w:w="954" w:type="dxa"/>
            <w:vMerge w:val="continue"/>
            <w:tcBorders>
              <w:top w:val="nil"/>
              <w:left w:val="nil"/>
              <w:bottom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13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1"/>
                <w:szCs w:val="21"/>
                <w:u w:val="none"/>
                <w:lang w:val="en-US" w:eastAsia="zh-CN" w:bidi="ar"/>
              </w:rPr>
              <w:t>-100</w:t>
            </w:r>
          </w:p>
        </w:tc>
        <w:tc>
          <w:tcPr>
            <w:tcW w:w="134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1"/>
                <w:szCs w:val="21"/>
                <w:u w:val="none"/>
                <w:lang w:val="en-US" w:eastAsia="zh-CN" w:bidi="ar"/>
              </w:rPr>
              <w:t>-50</w:t>
            </w:r>
          </w:p>
        </w:tc>
        <w:tc>
          <w:tcPr>
            <w:tcW w:w="14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1"/>
                <w:szCs w:val="21"/>
                <w:u w:val="none"/>
                <w:lang w:val="en-US" w:eastAsia="zh-CN" w:bidi="ar"/>
              </w:rPr>
              <w:t>0</w:t>
            </w:r>
          </w:p>
        </w:tc>
        <w:tc>
          <w:tcPr>
            <w:tcW w:w="15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1"/>
                <w:szCs w:val="21"/>
                <w:u w:val="none"/>
                <w:lang w:val="en-US" w:eastAsia="zh-CN" w:bidi="ar"/>
              </w:rPr>
              <w:t>50</w:t>
            </w:r>
          </w:p>
        </w:tc>
        <w:tc>
          <w:tcPr>
            <w:tcW w:w="126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rPr>
            </w:pPr>
            <w:r>
              <w:rPr>
                <w:rFonts w:hint="eastAsia" w:ascii="宋体" w:hAnsi="宋体" w:eastAsia="宋体" w:cs="宋体"/>
                <w:i w:val="0"/>
                <w:iCs w:val="0"/>
                <w:color w:val="000000"/>
                <w:kern w:val="0"/>
                <w:sz w:val="21"/>
                <w:szCs w:val="21"/>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6" w:type="dxa"/>
            <w:vMerge w:val="continue"/>
            <w:tcBorders>
              <w:top w:val="nil"/>
              <w:left w:val="single" w:color="auto" w:sz="4" w:space="0"/>
              <w:bottom w:val="single" w:color="auto" w:sz="8" w:space="0"/>
              <w:right w:val="single" w:color="auto" w:sz="4" w:space="0"/>
            </w:tcBorders>
            <w:vAlign w:val="center"/>
          </w:tcPr>
          <w:p>
            <w:pPr>
              <w:adjustRightInd/>
              <w:spacing w:line="240" w:lineRule="auto"/>
              <w:rPr>
                <w:rFonts w:hint="eastAsia" w:ascii="宋体" w:hAnsi="宋体" w:cs="宋体"/>
                <w:sz w:val="20"/>
                <w:szCs w:val="20"/>
              </w:rPr>
            </w:pPr>
          </w:p>
        </w:tc>
        <w:tc>
          <w:tcPr>
            <w:tcW w:w="954" w:type="dxa"/>
            <w:vMerge w:val="continue"/>
            <w:tcBorders>
              <w:top w:val="nil"/>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p>
        </w:tc>
        <w:tc>
          <w:tcPr>
            <w:tcW w:w="1376"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20.00%≤C2</w:t>
            </w:r>
          </w:p>
        </w:tc>
        <w:tc>
          <w:tcPr>
            <w:tcW w:w="1349"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15.00%≤C2＜20.00%</w:t>
            </w:r>
          </w:p>
        </w:tc>
        <w:tc>
          <w:tcPr>
            <w:tcW w:w="1451"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12.00%≤C2＜15.00%</w:t>
            </w:r>
          </w:p>
        </w:tc>
        <w:tc>
          <w:tcPr>
            <w:tcW w:w="1576"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ascii="宋体" w:hAnsi="宋体" w:cs="宋体"/>
              </w:rPr>
            </w:pPr>
            <w:r>
              <w:rPr>
                <w:rFonts w:ascii="宋体" w:hAnsi="宋体" w:cs="宋体"/>
              </w:rPr>
              <w:t>6.00%≤C2</w:t>
            </w:r>
          </w:p>
          <w:p>
            <w:pPr>
              <w:adjustRightInd/>
              <w:spacing w:line="240" w:lineRule="auto"/>
              <w:jc w:val="center"/>
              <w:rPr>
                <w:rFonts w:hint="eastAsia" w:ascii="宋体" w:hAnsi="宋体" w:cs="宋体"/>
              </w:rPr>
            </w:pPr>
            <w:r>
              <w:rPr>
                <w:rFonts w:ascii="宋体" w:hAnsi="宋体" w:cs="宋体"/>
              </w:rPr>
              <w:t>＜12.00%</w:t>
            </w:r>
          </w:p>
        </w:tc>
        <w:tc>
          <w:tcPr>
            <w:tcW w:w="1264" w:type="dxa"/>
            <w:tcBorders>
              <w:top w:val="single" w:color="auto" w:sz="4" w:space="0"/>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0.00%≤C2＜6.00%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0" w:hRule="atLeast"/>
          <w:jc w:val="center"/>
        </w:trPr>
        <w:tc>
          <w:tcPr>
            <w:tcW w:w="666" w:type="dxa"/>
            <w:vMerge w:val="restart"/>
            <w:tcBorders>
              <w:top w:val="single" w:color="auto" w:sz="8" w:space="0"/>
              <w:left w:val="single" w:color="auto" w:sz="4" w:space="0"/>
              <w:bottom w:val="single" w:color="auto" w:sz="8" w:space="0"/>
              <w:right w:val="single" w:color="auto" w:sz="4" w:space="0"/>
            </w:tcBorders>
            <w:vAlign w:val="center"/>
          </w:tcPr>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p>
          <w:p>
            <w:pPr>
              <w:adjustRightInd/>
              <w:spacing w:line="240" w:lineRule="auto"/>
              <w:jc w:val="center"/>
              <w:rPr>
                <w:rFonts w:hint="eastAsia" w:ascii="宋体" w:hAnsi="宋体" w:cs="宋体"/>
              </w:rPr>
            </w:pPr>
            <w:r>
              <w:rPr>
                <w:rFonts w:ascii="宋体" w:hAnsi="宋体" w:cs="宋体"/>
              </w:rPr>
              <w:t>加分项D</w:t>
            </w:r>
          </w:p>
        </w:tc>
        <w:tc>
          <w:tcPr>
            <w:tcW w:w="954" w:type="dxa"/>
            <w:tcBorders>
              <w:top w:val="single" w:color="auto" w:sz="8" w:space="0"/>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法律</w:t>
            </w:r>
            <w:r>
              <w:rPr>
                <w:rFonts w:hint="eastAsia" w:ascii="宋体" w:hAnsi="宋体" w:cs="宋体"/>
                <w:lang w:eastAsia="zh-CN"/>
              </w:rPr>
              <w:t>职业</w:t>
            </w:r>
            <w:r>
              <w:rPr>
                <w:rFonts w:ascii="宋体" w:hAnsi="宋体" w:cs="宋体"/>
              </w:rPr>
              <w:t>资格D1</w:t>
            </w:r>
          </w:p>
        </w:tc>
        <w:tc>
          <w:tcPr>
            <w:tcW w:w="7016" w:type="dxa"/>
            <w:gridSpan w:val="5"/>
            <w:tcBorders>
              <w:top w:val="single" w:color="auto" w:sz="8" w:space="0"/>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最低0分，最高2分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Merge w:val="continue"/>
            <w:tcBorders>
              <w:top w:val="single" w:color="auto" w:sz="8" w:space="0"/>
              <w:left w:val="single" w:color="auto" w:sz="4" w:space="0"/>
              <w:bottom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954" w:type="dxa"/>
            <w:tcBorders>
              <w:top w:val="single" w:color="auto" w:sz="8" w:space="0"/>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诉讼代理人资格D2</w:t>
            </w:r>
          </w:p>
        </w:tc>
        <w:tc>
          <w:tcPr>
            <w:tcW w:w="7016" w:type="dxa"/>
            <w:gridSpan w:val="5"/>
            <w:tcBorders>
              <w:top w:val="single" w:color="auto" w:sz="8" w:space="0"/>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最低0分，最高1分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Merge w:val="continue"/>
            <w:tcBorders>
              <w:top w:val="nil"/>
              <w:left w:val="single" w:color="auto" w:sz="4" w:space="0"/>
              <w:bottom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954" w:type="dxa"/>
            <w:tcBorders>
              <w:top w:val="single" w:color="auto" w:sz="8" w:space="0"/>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专利奖D3</w:t>
            </w:r>
          </w:p>
        </w:tc>
        <w:tc>
          <w:tcPr>
            <w:tcW w:w="7016" w:type="dxa"/>
            <w:gridSpan w:val="5"/>
            <w:tcBorders>
              <w:top w:val="single" w:color="auto" w:sz="8" w:space="0"/>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中国专利奖：金奖、银奖、优秀奖分别为4分、3分、2分</w:t>
            </w:r>
          </w:p>
          <w:p>
            <w:pPr>
              <w:adjustRightInd/>
              <w:spacing w:line="240" w:lineRule="auto"/>
              <w:jc w:val="center"/>
              <w:rPr>
                <w:rFonts w:hint="eastAsia" w:ascii="宋体" w:hAnsi="宋体" w:cs="宋体"/>
              </w:rPr>
            </w:pPr>
            <w:r>
              <w:rPr>
                <w:rFonts w:ascii="宋体" w:hAnsi="宋体" w:cs="宋体"/>
              </w:rPr>
              <w:t>浙江省知识产权奖：省级一等奖、省级二等奖、省级三等奖分别为3分、2分、1分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666" w:type="dxa"/>
            <w:vMerge w:val="continue"/>
            <w:tcBorders>
              <w:top w:val="nil"/>
              <w:left w:val="single" w:color="auto" w:sz="4" w:space="0"/>
              <w:bottom w:val="single" w:color="auto" w:sz="4" w:space="0"/>
              <w:right w:val="single" w:color="auto" w:sz="4" w:space="0"/>
            </w:tcBorders>
            <w:vAlign w:val="center"/>
          </w:tcPr>
          <w:p>
            <w:pPr>
              <w:adjustRightInd/>
              <w:spacing w:line="240" w:lineRule="auto"/>
              <w:jc w:val="center"/>
              <w:rPr>
                <w:rFonts w:hint="eastAsia" w:ascii="宋体" w:hAnsi="宋体" w:cs="宋体"/>
              </w:rPr>
            </w:pPr>
          </w:p>
        </w:tc>
        <w:tc>
          <w:tcPr>
            <w:tcW w:w="954" w:type="dxa"/>
            <w:tcBorders>
              <w:top w:val="single" w:color="auto" w:sz="8" w:space="0"/>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标准必要专利（SEP）D4</w:t>
            </w:r>
          </w:p>
        </w:tc>
        <w:tc>
          <w:tcPr>
            <w:tcW w:w="7016" w:type="dxa"/>
            <w:gridSpan w:val="5"/>
            <w:tcBorders>
              <w:top w:val="single" w:color="auto" w:sz="8" w:space="0"/>
              <w:left w:val="nil"/>
              <w:bottom w:val="single" w:color="auto" w:sz="8" w:space="0"/>
              <w:right w:val="single" w:color="auto" w:sz="4" w:space="0"/>
            </w:tcBorders>
            <w:vAlign w:val="center"/>
          </w:tcPr>
          <w:p>
            <w:pPr>
              <w:adjustRightInd/>
              <w:spacing w:line="240" w:lineRule="auto"/>
              <w:jc w:val="center"/>
              <w:rPr>
                <w:rFonts w:hint="eastAsia" w:ascii="宋体" w:hAnsi="宋体" w:cs="宋体"/>
              </w:rPr>
            </w:pPr>
            <w:r>
              <w:rPr>
                <w:rFonts w:ascii="宋体" w:hAnsi="宋体" w:cs="宋体"/>
              </w:rPr>
              <w:t>最低0分，最高3分</w:t>
            </w:r>
          </w:p>
        </w:tc>
      </w:tr>
    </w:tbl>
    <w:p>
      <w:pPr>
        <w:pStyle w:val="56"/>
        <w:ind w:firstLine="420"/>
      </w:pPr>
    </w:p>
    <w:p>
      <w:pPr>
        <w:pStyle w:val="56"/>
        <w:ind w:firstLine="420"/>
        <w:sectPr>
          <w:pgSz w:w="11906" w:h="16838"/>
          <w:pgMar w:top="1928" w:right="1134" w:bottom="1134" w:left="1134" w:header="1418" w:footer="1134" w:gutter="284"/>
          <w:pgBorders>
            <w:top w:val="none" w:sz="0" w:space="0"/>
            <w:left w:val="none" w:sz="0" w:space="0"/>
            <w:bottom w:val="none" w:sz="0" w:space="0"/>
            <w:right w:val="none" w:sz="0" w:space="0"/>
          </w:pgBorders>
          <w:cols w:space="425" w:num="1"/>
          <w:formProt w:val="0"/>
          <w:docGrid w:linePitch="312" w:charSpace="0"/>
        </w:sectPr>
      </w:pPr>
    </w:p>
    <w:p>
      <w:pPr>
        <w:pStyle w:val="198"/>
        <w:rPr>
          <w:rFonts w:hint="eastAsia"/>
        </w:rPr>
      </w:pPr>
    </w:p>
    <w:p>
      <w:pPr>
        <w:pStyle w:val="199"/>
      </w:pPr>
    </w:p>
    <w:p>
      <w:pPr>
        <w:pStyle w:val="76"/>
        <w:spacing w:after="120"/>
      </w:pPr>
      <w:bookmarkStart w:id="68" w:name="_Toc1322663744"/>
      <w:r>
        <w:br w:type="textWrapping"/>
      </w:r>
      <w:r>
        <w:rPr>
          <w:rFonts w:hint="eastAsia"/>
        </w:rPr>
        <w:t>（规范性）</w:t>
      </w:r>
      <w:r>
        <w:br w:type="textWrapping"/>
      </w:r>
      <w:r>
        <w:t>专利代理师能力无感评价等级积分表</w:t>
      </w:r>
      <w:bookmarkEnd w:id="68"/>
    </w:p>
    <w:tbl>
      <w:tblPr>
        <w:tblStyle w:val="27"/>
        <w:tblW w:w="852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547"/>
        <w:gridCol w:w="3195"/>
        <w:gridCol w:w="378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47" w:type="dxa"/>
            <w:tcBorders>
              <w:top w:val="single" w:color="auto" w:sz="8" w:space="0"/>
              <w:bottom w:val="single" w:color="auto" w:sz="8" w:space="0"/>
            </w:tcBorders>
            <w:vAlign w:val="center"/>
          </w:tcPr>
          <w:p>
            <w:pPr>
              <w:spacing w:line="240" w:lineRule="auto"/>
              <w:jc w:val="center"/>
              <w:rPr>
                <w:rFonts w:hint="eastAsia" w:ascii="宋体" w:hAnsi="宋体" w:cs="宋体"/>
                <w:sz w:val="18"/>
              </w:rPr>
            </w:pPr>
            <w:bookmarkStart w:id="69" w:name="OLE_LINK22"/>
            <w:r>
              <w:rPr>
                <w:rFonts w:hint="eastAsia" w:ascii="宋体" w:hAnsi="宋体" w:cs="宋体"/>
                <w:sz w:val="18"/>
                <w:szCs w:val="24"/>
              </w:rPr>
              <w:t>等级</w:t>
            </w:r>
          </w:p>
        </w:tc>
        <w:tc>
          <w:tcPr>
            <w:tcW w:w="3195" w:type="dxa"/>
            <w:tcBorders>
              <w:top w:val="single" w:color="auto" w:sz="8" w:space="0"/>
              <w:bottom w:val="single" w:color="auto" w:sz="8" w:space="0"/>
            </w:tcBorders>
            <w:vAlign w:val="center"/>
          </w:tcPr>
          <w:p>
            <w:pPr>
              <w:spacing w:line="240" w:lineRule="auto"/>
              <w:jc w:val="center"/>
              <w:rPr>
                <w:rFonts w:hint="eastAsia" w:ascii="宋体" w:hAnsi="宋体" w:cs="宋体"/>
                <w:sz w:val="18"/>
              </w:rPr>
            </w:pPr>
            <w:r>
              <w:rPr>
                <w:rFonts w:hint="eastAsia" w:ascii="宋体" w:hAnsi="宋体" w:cs="宋体"/>
                <w:sz w:val="18"/>
                <w:szCs w:val="24"/>
              </w:rPr>
              <w:t>对应分数区间（总分110）</w:t>
            </w:r>
          </w:p>
        </w:tc>
        <w:tc>
          <w:tcPr>
            <w:tcW w:w="3780" w:type="dxa"/>
            <w:tcBorders>
              <w:top w:val="single" w:color="auto" w:sz="8" w:space="0"/>
              <w:bottom w:val="single" w:color="auto" w:sz="8" w:space="0"/>
            </w:tcBorders>
            <w:vAlign w:val="center"/>
          </w:tcPr>
          <w:p>
            <w:pPr>
              <w:spacing w:line="240" w:lineRule="auto"/>
              <w:jc w:val="center"/>
              <w:rPr>
                <w:rFonts w:hint="eastAsia" w:ascii="宋体" w:hAnsi="宋体" w:cs="宋体"/>
                <w:sz w:val="18"/>
              </w:rPr>
            </w:pPr>
            <w:r>
              <w:rPr>
                <w:rFonts w:hint="eastAsia" w:ascii="宋体" w:hAnsi="宋体" w:cs="宋体"/>
                <w:sz w:val="18"/>
                <w:szCs w:val="24"/>
              </w:rPr>
              <w:t>能力描述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47" w:type="dxa"/>
            <w:tcBorders>
              <w:top w:val="single" w:color="auto" w:sz="8" w:space="0"/>
            </w:tcBorders>
            <w:vAlign w:val="center"/>
          </w:tcPr>
          <w:p>
            <w:pPr>
              <w:spacing w:line="240" w:lineRule="auto"/>
              <w:jc w:val="center"/>
              <w:rPr>
                <w:rFonts w:hint="eastAsia" w:ascii="宋体" w:hAnsi="宋体" w:cs="宋体"/>
                <w:sz w:val="18"/>
              </w:rPr>
            </w:pPr>
            <w:r>
              <w:rPr>
                <w:rFonts w:hint="eastAsia" w:ascii="宋体" w:hAnsi="宋体" w:cs="宋体"/>
                <w:sz w:val="18"/>
                <w:szCs w:val="24"/>
              </w:rPr>
              <w:t>★★★★★</w:t>
            </w:r>
          </w:p>
        </w:tc>
        <w:tc>
          <w:tcPr>
            <w:tcW w:w="3195" w:type="dxa"/>
            <w:tcBorders>
              <w:top w:val="single" w:color="auto" w:sz="8" w:space="0"/>
            </w:tcBorders>
            <w:vAlign w:val="center"/>
          </w:tcPr>
          <w:p>
            <w:pPr>
              <w:spacing w:line="240" w:lineRule="auto"/>
              <w:jc w:val="center"/>
              <w:rPr>
                <w:rFonts w:hint="eastAsia" w:ascii="宋体" w:hAnsi="宋体" w:cs="宋体"/>
                <w:sz w:val="18"/>
              </w:rPr>
            </w:pPr>
            <w:r>
              <w:rPr>
                <w:rFonts w:hint="eastAsia" w:ascii="宋体" w:hAnsi="宋体" w:cs="宋体"/>
                <w:sz w:val="18"/>
                <w:szCs w:val="24"/>
              </w:rPr>
              <w:t>≥90分</w:t>
            </w:r>
          </w:p>
        </w:tc>
        <w:tc>
          <w:tcPr>
            <w:tcW w:w="3780" w:type="dxa"/>
            <w:tcBorders>
              <w:top w:val="single" w:color="auto" w:sz="8" w:space="0"/>
            </w:tcBorders>
            <w:vAlign w:val="center"/>
          </w:tcPr>
          <w:p>
            <w:pPr>
              <w:spacing w:line="240" w:lineRule="auto"/>
              <w:jc w:val="center"/>
              <w:rPr>
                <w:rFonts w:hint="eastAsia" w:ascii="宋体" w:hAnsi="宋体" w:cs="宋体"/>
                <w:sz w:val="18"/>
              </w:rPr>
            </w:pPr>
            <w:r>
              <w:rPr>
                <w:rFonts w:hint="eastAsia" w:ascii="宋体" w:hAnsi="宋体" w:cs="宋体"/>
                <w:sz w:val="18"/>
                <w:szCs w:val="24"/>
              </w:rPr>
              <w:t>行业领先，综合能力强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47" w:type="dxa"/>
            <w:vAlign w:val="center"/>
          </w:tcPr>
          <w:p>
            <w:pPr>
              <w:spacing w:line="240" w:lineRule="auto"/>
              <w:jc w:val="center"/>
              <w:rPr>
                <w:rFonts w:hint="eastAsia" w:ascii="宋体" w:hAnsi="宋体" w:cs="宋体"/>
                <w:sz w:val="18"/>
              </w:rPr>
            </w:pPr>
            <w:r>
              <w:rPr>
                <w:rFonts w:hint="eastAsia" w:ascii="宋体" w:hAnsi="宋体" w:cs="宋体"/>
                <w:sz w:val="18"/>
                <w:szCs w:val="24"/>
              </w:rPr>
              <w:t>★★★★</w:t>
            </w:r>
          </w:p>
        </w:tc>
        <w:tc>
          <w:tcPr>
            <w:tcW w:w="3195" w:type="dxa"/>
            <w:vAlign w:val="center"/>
          </w:tcPr>
          <w:p>
            <w:pPr>
              <w:spacing w:line="240" w:lineRule="auto"/>
              <w:jc w:val="center"/>
              <w:rPr>
                <w:rFonts w:hint="eastAsia" w:ascii="宋体" w:hAnsi="宋体" w:cs="宋体"/>
                <w:sz w:val="18"/>
              </w:rPr>
            </w:pPr>
            <w:r>
              <w:rPr>
                <w:rFonts w:hint="eastAsia" w:ascii="宋体" w:hAnsi="宋体" w:cs="宋体"/>
                <w:sz w:val="18"/>
                <w:szCs w:val="24"/>
              </w:rPr>
              <w:t>75 ～ 89 分</w:t>
            </w:r>
          </w:p>
        </w:tc>
        <w:tc>
          <w:tcPr>
            <w:tcW w:w="3780" w:type="dxa"/>
            <w:vAlign w:val="center"/>
          </w:tcPr>
          <w:p>
            <w:pPr>
              <w:spacing w:line="240" w:lineRule="auto"/>
              <w:jc w:val="center"/>
              <w:rPr>
                <w:rFonts w:hint="eastAsia" w:ascii="宋体" w:hAnsi="宋体" w:cs="宋体"/>
                <w:sz w:val="18"/>
              </w:rPr>
            </w:pPr>
            <w:r>
              <w:rPr>
                <w:rFonts w:hint="eastAsia" w:ascii="宋体" w:hAnsi="宋体" w:cs="宋体"/>
                <w:sz w:val="18"/>
                <w:szCs w:val="24"/>
              </w:rPr>
              <w:t>能力优秀，规范程度高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547" w:type="dxa"/>
            <w:vAlign w:val="center"/>
          </w:tcPr>
          <w:p>
            <w:pPr>
              <w:spacing w:line="240" w:lineRule="auto"/>
              <w:jc w:val="center"/>
              <w:rPr>
                <w:rFonts w:hint="eastAsia" w:ascii="宋体" w:hAnsi="宋体" w:cs="宋体"/>
                <w:sz w:val="18"/>
              </w:rPr>
            </w:pPr>
            <w:r>
              <w:rPr>
                <w:rFonts w:hint="eastAsia" w:ascii="宋体" w:hAnsi="宋体" w:cs="宋体"/>
                <w:sz w:val="18"/>
                <w:szCs w:val="24"/>
              </w:rPr>
              <w:t>★★★</w:t>
            </w:r>
          </w:p>
        </w:tc>
        <w:tc>
          <w:tcPr>
            <w:tcW w:w="3195" w:type="dxa"/>
            <w:vAlign w:val="center"/>
          </w:tcPr>
          <w:p>
            <w:pPr>
              <w:spacing w:line="240" w:lineRule="auto"/>
              <w:jc w:val="center"/>
              <w:rPr>
                <w:rFonts w:hint="eastAsia" w:ascii="宋体" w:hAnsi="宋体" w:cs="宋体"/>
                <w:sz w:val="18"/>
              </w:rPr>
            </w:pPr>
            <w:r>
              <w:rPr>
                <w:rFonts w:hint="eastAsia" w:ascii="宋体" w:hAnsi="宋体" w:cs="宋体"/>
                <w:sz w:val="18"/>
                <w:szCs w:val="24"/>
              </w:rPr>
              <w:t>60 ～ 74 分</w:t>
            </w:r>
          </w:p>
        </w:tc>
        <w:tc>
          <w:tcPr>
            <w:tcW w:w="3780" w:type="dxa"/>
            <w:vAlign w:val="center"/>
          </w:tcPr>
          <w:p>
            <w:pPr>
              <w:spacing w:line="240" w:lineRule="auto"/>
              <w:jc w:val="center"/>
              <w:rPr>
                <w:rFonts w:hint="eastAsia" w:ascii="宋体" w:hAnsi="宋体" w:cs="宋体"/>
                <w:sz w:val="18"/>
              </w:rPr>
            </w:pPr>
            <w:r>
              <w:rPr>
                <w:rFonts w:hint="eastAsia" w:ascii="宋体" w:hAnsi="宋体" w:cs="宋体"/>
                <w:sz w:val="18"/>
                <w:szCs w:val="24"/>
              </w:rPr>
              <w:t>能力良好，满足基本服务要求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47" w:type="dxa"/>
            <w:vAlign w:val="center"/>
          </w:tcPr>
          <w:p>
            <w:pPr>
              <w:spacing w:line="240" w:lineRule="auto"/>
              <w:jc w:val="center"/>
              <w:rPr>
                <w:rFonts w:hint="eastAsia" w:ascii="宋体" w:hAnsi="宋体" w:cs="宋体"/>
                <w:sz w:val="18"/>
              </w:rPr>
            </w:pPr>
            <w:r>
              <w:rPr>
                <w:rFonts w:hint="eastAsia" w:ascii="宋体" w:hAnsi="宋体" w:cs="宋体"/>
                <w:sz w:val="18"/>
                <w:szCs w:val="24"/>
              </w:rPr>
              <w:t>★★</w:t>
            </w:r>
          </w:p>
        </w:tc>
        <w:tc>
          <w:tcPr>
            <w:tcW w:w="3195" w:type="dxa"/>
            <w:vAlign w:val="center"/>
          </w:tcPr>
          <w:p>
            <w:pPr>
              <w:spacing w:line="240" w:lineRule="auto"/>
              <w:jc w:val="center"/>
              <w:rPr>
                <w:rFonts w:hint="eastAsia" w:ascii="宋体" w:hAnsi="宋体" w:cs="宋体"/>
                <w:sz w:val="18"/>
              </w:rPr>
            </w:pPr>
            <w:r>
              <w:rPr>
                <w:rFonts w:hint="eastAsia" w:ascii="宋体" w:hAnsi="宋体" w:cs="宋体"/>
                <w:sz w:val="18"/>
                <w:szCs w:val="24"/>
              </w:rPr>
              <w:t>50 ～ 59 分</w:t>
            </w:r>
          </w:p>
        </w:tc>
        <w:tc>
          <w:tcPr>
            <w:tcW w:w="3780" w:type="dxa"/>
            <w:vAlign w:val="center"/>
          </w:tcPr>
          <w:p>
            <w:pPr>
              <w:spacing w:line="240" w:lineRule="auto"/>
              <w:jc w:val="center"/>
              <w:rPr>
                <w:rFonts w:hint="eastAsia" w:ascii="宋体" w:hAnsi="宋体" w:cs="宋体"/>
                <w:sz w:val="18"/>
              </w:rPr>
            </w:pPr>
            <w:r>
              <w:rPr>
                <w:rFonts w:hint="eastAsia" w:ascii="宋体" w:hAnsi="宋体" w:cs="宋体"/>
                <w:sz w:val="18"/>
                <w:szCs w:val="24"/>
              </w:rPr>
              <w:t>能力较好，存在明显改进空间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47" w:type="dxa"/>
            <w:tcBorders>
              <w:bottom w:val="single" w:color="auto" w:sz="8" w:space="0"/>
            </w:tcBorders>
            <w:vAlign w:val="center"/>
          </w:tcPr>
          <w:p>
            <w:pPr>
              <w:spacing w:line="240" w:lineRule="auto"/>
              <w:jc w:val="center"/>
              <w:rPr>
                <w:rFonts w:hint="eastAsia" w:ascii="宋体" w:hAnsi="宋体" w:cs="宋体"/>
                <w:sz w:val="18"/>
              </w:rPr>
            </w:pPr>
            <w:r>
              <w:rPr>
                <w:rFonts w:hint="eastAsia" w:ascii="宋体" w:hAnsi="宋体" w:cs="宋体"/>
                <w:sz w:val="18"/>
                <w:szCs w:val="24"/>
              </w:rPr>
              <w:t>★</w:t>
            </w:r>
          </w:p>
        </w:tc>
        <w:tc>
          <w:tcPr>
            <w:tcW w:w="3195" w:type="dxa"/>
            <w:tcBorders>
              <w:bottom w:val="single" w:color="auto" w:sz="8" w:space="0"/>
            </w:tcBorders>
            <w:vAlign w:val="center"/>
          </w:tcPr>
          <w:p>
            <w:pPr>
              <w:tabs>
                <w:tab w:val="left" w:pos="1053"/>
                <w:tab w:val="center" w:pos="1660"/>
              </w:tabs>
              <w:spacing w:line="240" w:lineRule="auto"/>
              <w:jc w:val="center"/>
              <w:rPr>
                <w:rFonts w:hint="eastAsia" w:ascii="宋体" w:hAnsi="宋体" w:cs="宋体"/>
                <w:sz w:val="18"/>
              </w:rPr>
            </w:pPr>
            <w:r>
              <w:rPr>
                <w:rFonts w:hint="eastAsia" w:ascii="宋体" w:hAnsi="宋体" w:eastAsia="宋体" w:cs="宋体"/>
                <w:sz w:val="18"/>
                <w:szCs w:val="24"/>
                <w:lang w:val="en-US" w:eastAsia="zh-CN"/>
              </w:rPr>
              <w:t>0</w:t>
            </w:r>
            <w:r>
              <w:rPr>
                <w:rFonts w:hint="eastAsia" w:asciiTheme="minorEastAsia" w:hAnsiTheme="minorEastAsia" w:eastAsiaTheme="minorEastAsia" w:cstheme="minorEastAsia"/>
                <w:sz w:val="18"/>
                <w:szCs w:val="24"/>
              </w:rPr>
              <w:t>～</w:t>
            </w:r>
            <w:r>
              <w:rPr>
                <w:rFonts w:hint="eastAsia" w:ascii="宋体" w:hAnsi="宋体" w:cs="宋体"/>
                <w:sz w:val="18"/>
                <w:szCs w:val="24"/>
              </w:rPr>
              <w:t>49 分</w:t>
            </w:r>
          </w:p>
        </w:tc>
        <w:tc>
          <w:tcPr>
            <w:tcW w:w="3780" w:type="dxa"/>
            <w:tcBorders>
              <w:bottom w:val="single" w:color="auto" w:sz="8" w:space="0"/>
            </w:tcBorders>
            <w:vAlign w:val="center"/>
          </w:tcPr>
          <w:p>
            <w:pPr>
              <w:spacing w:line="240" w:lineRule="auto"/>
              <w:jc w:val="center"/>
              <w:rPr>
                <w:rFonts w:hint="eastAsia" w:ascii="宋体" w:hAnsi="宋体" w:cs="宋体"/>
                <w:sz w:val="18"/>
              </w:rPr>
            </w:pPr>
            <w:r>
              <w:rPr>
                <w:rFonts w:hint="eastAsia" w:ascii="宋体" w:hAnsi="宋体" w:cs="宋体"/>
                <w:sz w:val="18"/>
                <w:szCs w:val="24"/>
              </w:rPr>
              <w:t>能力基础，具备基本服务能力</w:t>
            </w:r>
          </w:p>
        </w:tc>
      </w:tr>
      <w:bookmarkEnd w:id="69"/>
    </w:tbl>
    <w:p>
      <w:pPr>
        <w:pStyle w:val="56"/>
        <w:ind w:firstLine="0" w:firstLineChars="0"/>
      </w:pPr>
    </w:p>
    <w:p>
      <w:pPr>
        <w:pStyle w:val="56"/>
        <w:ind w:firstLine="420"/>
      </w:pPr>
    </w:p>
    <w:p>
      <w:pPr>
        <w:pStyle w:val="56"/>
        <w:ind w:left="0" w:leftChars="0" w:firstLine="0" w:firstLineChars="0"/>
      </w:pPr>
      <w:r>
        <w:br w:type="textWrapping"/>
      </w:r>
    </w:p>
    <w:p>
      <w:pPr>
        <w:pStyle w:val="56"/>
        <w:ind w:firstLine="420"/>
      </w:pPr>
    </w:p>
    <w:p>
      <w:pPr>
        <w:pStyle w:val="56"/>
        <w:ind w:firstLine="420"/>
      </w:pPr>
    </w:p>
    <w:bookmarkEnd w:id="65"/>
    <w:p>
      <w:pPr>
        <w:pStyle w:val="56"/>
        <w:ind w:firstLine="0" w:firstLineChars="0"/>
        <w:jc w:val="center"/>
      </w:pPr>
    </w:p>
    <w:sectPr>
      <w:pgSz w:w="11906" w:h="16838"/>
      <w:pgMar w:top="1928" w:right="1134" w:bottom="1134" w:left="1134" w:header="1418" w:footer="1134" w:gutter="284"/>
      <w:pgBorders>
        <w:top w:val="none" w:sz="0" w:space="0"/>
        <w:left w:val="none" w:sz="0" w:space="0"/>
        <w:bottom w:val="none" w:sz="0" w:space="0"/>
        <w:right w:val="none" w:sz="0" w:space="0"/>
      </w:pgBorders>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Light">
    <w:altName w:val="华文仿宋"/>
    <w:panose1 w:val="02010600030101010101"/>
    <w:charset w:val="86"/>
    <w:family w:val="auto"/>
    <w:pitch w:val="default"/>
    <w:sig w:usb0="00000000" w:usb1="00000000" w:usb2="00000016" w:usb3="00000000" w:csb0="0004000F" w:csb1="00000000"/>
  </w:font>
  <w:font w:name="Cambria Math">
    <w:altName w:val="DejaVu Math TeX Gyre"/>
    <w:panose1 w:val="02040503050406030204"/>
    <w:charset w:val="00"/>
    <w:family w:val="roman"/>
    <w:pitch w:val="default"/>
    <w:sig w:usb0="00000000" w:usb1="00000000" w:usb2="02000000" w:usb3="00000000" w:csb0="2000019F" w:csb1="00000000"/>
  </w:font>
  <w:font w:name="仿宋_GB2312">
    <w:altName w:val="方正仿宋_GBK"/>
    <w:panose1 w:val="02010609030101010101"/>
    <w:charset w:val="86"/>
    <w:family w:val="modern"/>
    <w:pitch w:val="default"/>
    <w:sig w:usb0="00000000" w:usb1="00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sans-serif">
    <w:altName w:val="C059"/>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C059">
    <w:panose1 w:val="00000500000000000000"/>
    <w:charset w:val="00"/>
    <w:family w:val="auto"/>
    <w:pitch w:val="default"/>
    <w:sig w:usb0="00000287" w:usb1="00000800" w:usb2="00000000" w:usb3="00000000" w:csb0="6000009F" w:csb1="00000000"/>
  </w:font>
  <w:font w:name="Liberation Serif">
    <w:panose1 w:val="02020603050405020304"/>
    <w:charset w:val="00"/>
    <w:family w:val="auto"/>
    <w:pitch w:val="default"/>
    <w:sig w:usb0="A00002AF" w:usb1="500078FB" w:usb2="00000000" w:usb3="00000000" w:csb0="6000009F" w:csb1="DFD70000"/>
  </w:font>
  <w:font w:name="等线">
    <w:altName w:val="C059"/>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 w:name="华文仿宋">
    <w:panose1 w:val="02010600040101010101"/>
    <w:charset w:val="86"/>
    <w:family w:val="auto"/>
    <w:pitch w:val="default"/>
    <w:sig w:usb0="00000287" w:usb1="080F0000" w:usb2="00000000" w:usb3="00000000" w:csb0="0004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rPr>
        <w:rFonts w:hint="eastAsia"/>
      </w:rPr>
    </w:pPr>
    <w:r>
      <w:fldChar w:fldCharType="begin"/>
    </w:r>
    <w:r>
      <w:instrText xml:space="preserve"> STYLEREF  标准文件_文件编号  \* MERGEFORMAT </w:instrText>
    </w:r>
    <w:r>
      <w:fldChar w:fldCharType="separate"/>
    </w:r>
    <w:r>
      <w:t>T/XXX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right"/>
    </w:pPr>
    <w:r>
      <w:fldChar w:fldCharType="begin"/>
    </w:r>
    <w:r>
      <w:instrText xml:space="preserve"> STYLEREF  标准文件_文件编号  \* MERGEFORMAT </w:instrText>
    </w:r>
    <w:r>
      <w:fldChar w:fldCharType="separate"/>
    </w:r>
    <w:r>
      <w:t>T/XXX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bordersDoNotSurroundHeader w:val="0"/>
  <w:bordersDoNotSurroundFooter w:val="0"/>
  <w:attachedTemplate r:id="rId1"/>
  <w:documentProtection w:edit="forms" w:enforcement="1" w:cryptProviderType="rsaAES" w:cryptAlgorithmClass="hash" w:cryptAlgorithmType="typeAny" w:cryptAlgorithmSid="14" w:cryptSpinCount="100000" w:hash="aCHm3cZBkwQ+9Wzdt/eOEQBwgbiEPnSbUNndz3L6+ulfXEbkHus4uv1zJafPfllPjB4z/R+6vXrnYrMPmtWUVw==" w:salt="QqsrC5fzK2/zBmt3fQ2G9w=="/>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013"/>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545A"/>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E7144"/>
    <w:rsid w:val="000F06E1"/>
    <w:rsid w:val="000F0E3C"/>
    <w:rsid w:val="000F19D5"/>
    <w:rsid w:val="000F4050"/>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37565"/>
    <w:rsid w:val="00141114"/>
    <w:rsid w:val="001421A4"/>
    <w:rsid w:val="00142969"/>
    <w:rsid w:val="001446C2"/>
    <w:rsid w:val="001457E7"/>
    <w:rsid w:val="00145D9D"/>
    <w:rsid w:val="00146388"/>
    <w:rsid w:val="001529E5"/>
    <w:rsid w:val="00152FB3"/>
    <w:rsid w:val="00153C7E"/>
    <w:rsid w:val="00154A70"/>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3F7"/>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101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FF6"/>
    <w:rsid w:val="003D262C"/>
    <w:rsid w:val="003D6D61"/>
    <w:rsid w:val="003E019F"/>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3741A"/>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870EF"/>
    <w:rsid w:val="00693962"/>
    <w:rsid w:val="006A07AA"/>
    <w:rsid w:val="006A25E5"/>
    <w:rsid w:val="006A2B46"/>
    <w:rsid w:val="006A336D"/>
    <w:rsid w:val="006A37B9"/>
    <w:rsid w:val="006A674E"/>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73D3"/>
    <w:rsid w:val="00840617"/>
    <w:rsid w:val="00840F84"/>
    <w:rsid w:val="00842A47"/>
    <w:rsid w:val="00843C13"/>
    <w:rsid w:val="00843DEF"/>
    <w:rsid w:val="008454F8"/>
    <w:rsid w:val="0085173A"/>
    <w:rsid w:val="00855DC0"/>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5180"/>
    <w:rsid w:val="00945428"/>
    <w:rsid w:val="0094607B"/>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1A4E"/>
    <w:rsid w:val="00BC297C"/>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4C8D"/>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23A"/>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16F00"/>
    <w:rsid w:val="00F25BB6"/>
    <w:rsid w:val="00F26B7E"/>
    <w:rsid w:val="00F27A3B"/>
    <w:rsid w:val="00F32780"/>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177FC49C"/>
    <w:rsid w:val="1AE74EAA"/>
    <w:rsid w:val="1BFD4AE6"/>
    <w:rsid w:val="1FEA7D66"/>
    <w:rsid w:val="1FFF61BE"/>
    <w:rsid w:val="239F7661"/>
    <w:rsid w:val="2B7F8FC1"/>
    <w:rsid w:val="2F7F000C"/>
    <w:rsid w:val="33FEFD60"/>
    <w:rsid w:val="37BE6C4B"/>
    <w:rsid w:val="3CB01153"/>
    <w:rsid w:val="3CEB8B66"/>
    <w:rsid w:val="3D7FF085"/>
    <w:rsid w:val="3DFE037C"/>
    <w:rsid w:val="3FBBF0D7"/>
    <w:rsid w:val="4379C53B"/>
    <w:rsid w:val="4EFCDCE5"/>
    <w:rsid w:val="53EBC5FE"/>
    <w:rsid w:val="579FB5B9"/>
    <w:rsid w:val="57B112F3"/>
    <w:rsid w:val="57BEAE64"/>
    <w:rsid w:val="597B3E1F"/>
    <w:rsid w:val="5BDBDC0F"/>
    <w:rsid w:val="5BEE0D1E"/>
    <w:rsid w:val="5D7E2A08"/>
    <w:rsid w:val="5DFCFFB3"/>
    <w:rsid w:val="5E4F2F04"/>
    <w:rsid w:val="5FE7DA62"/>
    <w:rsid w:val="66BF4A70"/>
    <w:rsid w:val="689A79C0"/>
    <w:rsid w:val="6BFF6985"/>
    <w:rsid w:val="6EFC6821"/>
    <w:rsid w:val="6F333D8C"/>
    <w:rsid w:val="6F7D815C"/>
    <w:rsid w:val="732F27BC"/>
    <w:rsid w:val="75FD5B22"/>
    <w:rsid w:val="765A537E"/>
    <w:rsid w:val="76F45D3E"/>
    <w:rsid w:val="77FEA8F8"/>
    <w:rsid w:val="79E19F4E"/>
    <w:rsid w:val="7B660096"/>
    <w:rsid w:val="7BF70DA9"/>
    <w:rsid w:val="7CDD142F"/>
    <w:rsid w:val="7D3A15F0"/>
    <w:rsid w:val="7DDD9441"/>
    <w:rsid w:val="7F57178B"/>
    <w:rsid w:val="7FC9AEC9"/>
    <w:rsid w:val="7FED2FD1"/>
    <w:rsid w:val="7FF742AF"/>
    <w:rsid w:val="9BB61781"/>
    <w:rsid w:val="AFCFEB4C"/>
    <w:rsid w:val="B1396DD7"/>
    <w:rsid w:val="B6FEDA77"/>
    <w:rsid w:val="B768FAD9"/>
    <w:rsid w:val="BBFFE563"/>
    <w:rsid w:val="BEF7B36F"/>
    <w:rsid w:val="BEFFBEBC"/>
    <w:rsid w:val="BF577DB9"/>
    <w:rsid w:val="BF77489D"/>
    <w:rsid w:val="BFDED969"/>
    <w:rsid w:val="BFF42C90"/>
    <w:rsid w:val="BFFBE44B"/>
    <w:rsid w:val="BFFE72C9"/>
    <w:rsid w:val="BFFF82DB"/>
    <w:rsid w:val="DBEF4AF9"/>
    <w:rsid w:val="DFBA741C"/>
    <w:rsid w:val="E3F5720D"/>
    <w:rsid w:val="E4B7C9E1"/>
    <w:rsid w:val="EB6FD142"/>
    <w:rsid w:val="EBE1427A"/>
    <w:rsid w:val="EBEFAC87"/>
    <w:rsid w:val="EDEF8E15"/>
    <w:rsid w:val="EDF6CED4"/>
    <w:rsid w:val="EDFF41D2"/>
    <w:rsid w:val="EF5F6286"/>
    <w:rsid w:val="EF69F5E5"/>
    <w:rsid w:val="EF6E0CEA"/>
    <w:rsid w:val="EF7F73DD"/>
    <w:rsid w:val="EF9B19FC"/>
    <w:rsid w:val="EFEF36E3"/>
    <w:rsid w:val="EFFF740B"/>
    <w:rsid w:val="F1DD91DF"/>
    <w:rsid w:val="F41FA642"/>
    <w:rsid w:val="F5D30A79"/>
    <w:rsid w:val="F78E2999"/>
    <w:rsid w:val="F7EAF96C"/>
    <w:rsid w:val="F9FF3539"/>
    <w:rsid w:val="FB77A8EC"/>
    <w:rsid w:val="FBA1B031"/>
    <w:rsid w:val="FBEF655D"/>
    <w:rsid w:val="FC5106B0"/>
    <w:rsid w:val="FCFFC142"/>
    <w:rsid w:val="FDEF79C0"/>
    <w:rsid w:val="FDF8235A"/>
    <w:rsid w:val="FDFDF32C"/>
    <w:rsid w:val="FFBCEBAE"/>
    <w:rsid w:val="FFCC45D5"/>
    <w:rsid w:val="FFE6620F"/>
    <w:rsid w:val="FFEF2555"/>
    <w:rsid w:val="FFFF76BB"/>
    <w:rsid w:val="FFFFC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字符"/>
    <w:link w:val="2"/>
    <w:qFormat/>
    <w:uiPriority w:val="0"/>
    <w:rPr>
      <w:b/>
      <w:bCs/>
      <w:kern w:val="44"/>
      <w:sz w:val="44"/>
      <w:szCs w:val="44"/>
    </w:rPr>
  </w:style>
  <w:style w:type="character" w:customStyle="1" w:styleId="35">
    <w:name w:val="标题 2 字符"/>
    <w:link w:val="3"/>
    <w:qFormat/>
    <w:uiPriority w:val="0"/>
    <w:rPr>
      <w:rFonts w:ascii="Arial" w:hAnsi="Arial" w:eastAsia="黑体"/>
      <w:b/>
      <w:bCs/>
      <w:kern w:val="2"/>
      <w:sz w:val="32"/>
      <w:szCs w:val="32"/>
    </w:rPr>
  </w:style>
  <w:style w:type="character" w:customStyle="1" w:styleId="36">
    <w:name w:val="标题 3 字符"/>
    <w:link w:val="4"/>
    <w:qFormat/>
    <w:uiPriority w:val="0"/>
    <w:rPr>
      <w:b/>
      <w:bCs/>
      <w:kern w:val="2"/>
      <w:sz w:val="32"/>
      <w:szCs w:val="32"/>
    </w:rPr>
  </w:style>
  <w:style w:type="character" w:customStyle="1" w:styleId="37">
    <w:name w:val="标题 4 字符"/>
    <w:link w:val="5"/>
    <w:qFormat/>
    <w:uiPriority w:val="0"/>
    <w:rPr>
      <w:rFonts w:ascii="Arial" w:hAnsi="Arial" w:eastAsia="黑体"/>
      <w:b/>
      <w:bCs/>
      <w:kern w:val="2"/>
      <w:sz w:val="28"/>
      <w:szCs w:val="28"/>
    </w:rPr>
  </w:style>
  <w:style w:type="character" w:customStyle="1" w:styleId="38">
    <w:name w:val="标题 5 字符"/>
    <w:link w:val="6"/>
    <w:qFormat/>
    <w:uiPriority w:val="0"/>
    <w:rPr>
      <w:b/>
      <w:bCs/>
      <w:kern w:val="2"/>
      <w:sz w:val="28"/>
      <w:szCs w:val="28"/>
    </w:rPr>
  </w:style>
  <w:style w:type="character" w:customStyle="1" w:styleId="39">
    <w:name w:val="标题 6 字符"/>
    <w:link w:val="7"/>
    <w:qFormat/>
    <w:uiPriority w:val="0"/>
    <w:rPr>
      <w:rFonts w:ascii="Arial" w:hAnsi="Arial" w:eastAsia="黑体"/>
      <w:b/>
      <w:bCs/>
      <w:kern w:val="2"/>
      <w:sz w:val="24"/>
      <w:szCs w:val="24"/>
    </w:rPr>
  </w:style>
  <w:style w:type="character" w:customStyle="1" w:styleId="40">
    <w:name w:val="标题 7 字符"/>
    <w:link w:val="8"/>
    <w:qFormat/>
    <w:uiPriority w:val="0"/>
    <w:rPr>
      <w:b/>
      <w:bCs/>
      <w:kern w:val="2"/>
      <w:sz w:val="24"/>
      <w:szCs w:val="24"/>
    </w:rPr>
  </w:style>
  <w:style w:type="character" w:customStyle="1" w:styleId="41">
    <w:name w:val="标题 8 字符"/>
    <w:link w:val="9"/>
    <w:qFormat/>
    <w:uiPriority w:val="0"/>
    <w:rPr>
      <w:rFonts w:ascii="Arial" w:hAnsi="Arial" w:eastAsia="黑体"/>
      <w:kern w:val="2"/>
      <w:sz w:val="24"/>
      <w:szCs w:val="24"/>
    </w:rPr>
  </w:style>
  <w:style w:type="character" w:customStyle="1" w:styleId="42">
    <w:name w:val="标题 9 字符"/>
    <w:link w:val="10"/>
    <w:qFormat/>
    <w:uiPriority w:val="0"/>
    <w:rPr>
      <w:rFonts w:ascii="Arial" w:hAnsi="Arial" w:eastAsia="黑体"/>
      <w:kern w:val="2"/>
      <w:sz w:val="21"/>
      <w:szCs w:val="21"/>
    </w:rPr>
  </w:style>
  <w:style w:type="character" w:customStyle="1" w:styleId="43">
    <w:name w:val="页眉 字符"/>
    <w:link w:val="18"/>
    <w:qFormat/>
    <w:uiPriority w:val="99"/>
    <w:rPr>
      <w:kern w:val="2"/>
      <w:sz w:val="18"/>
      <w:szCs w:val="18"/>
    </w:rPr>
  </w:style>
  <w:style w:type="character" w:customStyle="1" w:styleId="44">
    <w:name w:val="页脚 字符"/>
    <w:link w:val="17"/>
    <w:qFormat/>
    <w:uiPriority w:val="99"/>
    <w:rPr>
      <w:rFonts w:ascii="宋体"/>
      <w:kern w:val="2"/>
      <w:sz w:val="18"/>
      <w:szCs w:val="18"/>
    </w:rPr>
  </w:style>
  <w:style w:type="character" w:customStyle="1" w:styleId="45">
    <w:name w:val="批注框文本 字符"/>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字符"/>
    <w:link w:val="46"/>
    <w:qFormat/>
    <w:uiPriority w:val="29"/>
    <w:rPr>
      <w:i/>
      <w:iCs/>
      <w:color w:val="000000"/>
      <w:kern w:val="2"/>
      <w:sz w:val="21"/>
      <w:szCs w:val="21"/>
    </w:rPr>
  </w:style>
  <w:style w:type="character" w:customStyle="1" w:styleId="48">
    <w:name w:val="标题 字符"/>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Subtle Reference"/>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semiHidden/>
    <w:qFormat/>
    <w:uiPriority w:val="0"/>
    <w:pPr>
      <w:adjustRightInd/>
      <w:spacing w:line="240" w:lineRule="auto"/>
      <w:jc w:val="left"/>
    </w:pPr>
    <w:rPr>
      <w:bCs/>
      <w:iCs/>
    </w:rPr>
  </w:style>
  <w:style w:type="paragraph" w:customStyle="1" w:styleId="143">
    <w:name w:val="目录 31"/>
    <w:basedOn w:val="1"/>
    <w:next w:val="1"/>
    <w:semiHidden/>
    <w:qFormat/>
    <w:uiPriority w:val="0"/>
    <w:pPr>
      <w:spacing w:line="240" w:lineRule="auto"/>
    </w:pPr>
    <w:rPr>
      <w:rFonts w:ascii="宋体" w:hAnsi="宋体"/>
      <w:iCs/>
    </w:rPr>
  </w:style>
  <w:style w:type="paragraph" w:customStyle="1" w:styleId="144">
    <w:name w:val="目录 41"/>
    <w:basedOn w:val="1"/>
    <w:next w:val="1"/>
    <w:semiHidden/>
    <w:qFormat/>
    <w:uiPriority w:val="0"/>
    <w:pPr>
      <w:adjustRightInd/>
      <w:spacing w:line="240" w:lineRule="auto"/>
      <w:jc w:val="left"/>
    </w:pPr>
  </w:style>
  <w:style w:type="paragraph" w:customStyle="1" w:styleId="145">
    <w:name w:val="目录 51"/>
    <w:basedOn w:val="1"/>
    <w:next w:val="1"/>
    <w:semiHidden/>
    <w:qFormat/>
    <w:uiPriority w:val="0"/>
    <w:pPr>
      <w:spacing w:line="240" w:lineRule="auto"/>
    </w:pPr>
    <w:rPr>
      <w:rFonts w:ascii="宋体" w:hAnsi="宋体"/>
    </w:rPr>
  </w:style>
  <w:style w:type="paragraph" w:customStyle="1" w:styleId="146">
    <w:name w:val="目录 61"/>
    <w:basedOn w:val="1"/>
    <w:next w:val="1"/>
    <w:semiHidden/>
    <w:qFormat/>
    <w:uiPriority w:val="0"/>
    <w:pPr>
      <w:adjustRightInd/>
      <w:spacing w:line="240" w:lineRule="auto"/>
      <w:jc w:val="left"/>
    </w:pPr>
  </w:style>
  <w:style w:type="paragraph" w:customStyle="1" w:styleId="147">
    <w:name w:val="目录 71"/>
    <w:basedOn w:val="146"/>
    <w:semiHidden/>
    <w:qFormat/>
    <w:uiPriority w:val="0"/>
    <w:pPr>
      <w:ind w:left="1260"/>
    </w:pPr>
  </w:style>
  <w:style w:type="paragraph" w:customStyle="1" w:styleId="148">
    <w:name w:val="目录 81"/>
    <w:basedOn w:val="147"/>
    <w:semiHidden/>
    <w:qFormat/>
    <w:uiPriority w:val="0"/>
    <w:pPr>
      <w:ind w:left="1470"/>
    </w:pPr>
  </w:style>
  <w:style w:type="paragraph" w:customStyle="1" w:styleId="149">
    <w:name w:val="目录 91"/>
    <w:basedOn w:val="148"/>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 w:type="table" w:customStyle="1" w:styleId="230">
    <w:name w:val="网格型1"/>
    <w:basedOn w:val="2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1">
    <w:name w:val="网格型2"/>
    <w:basedOn w:val="2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glossaryDocument" Target="glossary/document.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nis/C:\home\unis\C:\Program%20Files%20(x86)\StandardEditor\template\&#22242;&#20307;&#26631;&#20934;.dotx" TargetMode="Externa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0BBFE10E597406E89616C945C6C3C89"/>
        <w:style w:val=""/>
        <w:category>
          <w:name w:val="常规"/>
          <w:gallery w:val="placeholder"/>
        </w:category>
        <w:types>
          <w:type w:val="bbPlcHdr"/>
        </w:types>
        <w:behaviors>
          <w:behavior w:val="content"/>
        </w:behaviors>
        <w:description w:val=""/>
        <w:guid w:val="{C7EE7F82-53AB-4EB3-A15C-FB2F1C2F4AC3}"/>
      </w:docPartPr>
      <w:docPartBody>
        <w:p>
          <w:pPr>
            <w:pStyle w:val="5"/>
            <w:rPr>
              <w:rFonts w:hint="eastAsia"/>
            </w:rPr>
          </w:pPr>
          <w:r>
            <w:rPr>
              <w:rStyle w:val="4"/>
              <w:rFonts w:hint="eastAsia"/>
            </w:rPr>
            <w:t>单击或点击此处输入文字。</w:t>
          </w:r>
        </w:p>
      </w:docPartBody>
    </w:docPart>
    <w:docPart>
      <w:docPartPr>
        <w:name w:val="A63273243D5F4E3491D19352B5E9B97C"/>
        <w:style w:val=""/>
        <w:category>
          <w:name w:val="常规"/>
          <w:gallery w:val="placeholder"/>
        </w:category>
        <w:types>
          <w:type w:val="bbPlcHdr"/>
        </w:types>
        <w:behaviors>
          <w:behavior w:val="content"/>
        </w:behaviors>
        <w:description w:val=""/>
        <w:guid w:val="{240F0824-FEDC-4CDE-8A6F-7E8D28286C9F}"/>
      </w:docPartPr>
      <w:docPartBody>
        <w:p>
          <w:pPr>
            <w:pStyle w:val="6"/>
            <w:rPr>
              <w:rFonts w:hint="eastAsia"/>
            </w:rPr>
          </w:pPr>
          <w:r>
            <w:rPr>
              <w:rStyle w:val="4"/>
              <w:rFonts w:hint="eastAsia"/>
            </w:rPr>
            <w:t>选择一项。</w:t>
          </w:r>
        </w:p>
      </w:docPartBody>
    </w:docPart>
    <w:docPart>
      <w:docPartPr>
        <w:name w:val="E7AA727F6D3E4FE7966DCD2CC6267AF1"/>
        <w:style w:val=""/>
        <w:category>
          <w:name w:val="常规"/>
          <w:gallery w:val="placeholder"/>
        </w:category>
        <w:types>
          <w:type w:val="bbPlcHdr"/>
        </w:types>
        <w:behaviors>
          <w:behavior w:val="content"/>
        </w:behaviors>
        <w:description w:val=""/>
        <w:guid w:val="{AF0C3EA5-34EB-42AC-8B4E-C6C4C47E3174}"/>
      </w:docPartPr>
      <w:docPartBody>
        <w:p>
          <w:pPr>
            <w:pStyle w:val="7"/>
            <w:rPr>
              <w:rFonts w:hint="eastAsia"/>
            </w:rPr>
          </w:pPr>
          <w:r>
            <w:rPr>
              <w:rStyle w:val="4"/>
              <w:rFonts w:hint="eastAsia"/>
            </w:rPr>
            <w:t>选择一项。</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w:altName w:val="华文仿宋"/>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 w:name="方正黑体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C059">
    <w:panose1 w:val="00000500000000000000"/>
    <w:charset w:val="00"/>
    <w:family w:val="auto"/>
    <w:pitch w:val="default"/>
    <w:sig w:usb0="00000287" w:usb1="00000800" w:usb2="00000000" w:usb3="00000000" w:csb0="600000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866"/>
    <w:rsid w:val="000A545A"/>
    <w:rsid w:val="00737308"/>
    <w:rsid w:val="00776866"/>
    <w:rsid w:val="008B6BAA"/>
    <w:rsid w:val="009C2F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E0BBFE10E597406E89616C945C6C3C89"/>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A63273243D5F4E3491D19352B5E9B97C"/>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
    <w:name w:val="E7AA727F6D3E4FE7966DCD2CC6267AF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团体标准.dotx</Template>
  <Company>PCMI</Company>
  <Pages>11</Pages>
  <Words>5199</Words>
  <Characters>5982</Characters>
  <Lines>889</Lines>
  <Paragraphs>800</Paragraphs>
  <TotalTime>9</TotalTime>
  <ScaleCrop>false</ScaleCrop>
  <LinksUpToDate>false</LinksUpToDate>
  <CharactersWithSpaces>6102</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2026-07-13T21:58:00Z</dcterms:created>
  <dc:creator>11497</dc:creator>
  <dc:description>&lt;config cover="true" show_menu="true" version="1.0.0" doctype="SDKXY"&gt;_x000d_
&lt;/config&gt;</dc:description>
  <cp:lastModifiedBy>unis</cp:lastModifiedBy>
  <cp:lastPrinted>2026-09-08T16:41:00Z</cp:lastPrinted>
  <dcterms:modified xsi:type="dcterms:W3CDTF">2026-09-08T14:07:06Z</dcterms:modified>
  <dc:title>团体标准</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eyJoZGlkIjoiZTk4MjE0NWFmNDU5ZjFmMmE0ODZkNzhiYWQ3ZGIwNDEiLCJ1c2VySWQiOiI3Njk1MjkyMTAifQ==</vt:lpwstr>
  </property>
  <property fmtid="{D5CDD505-2E9C-101B-9397-08002B2CF9AE}" pid="15" name="KSOProductBuildVer">
    <vt:lpwstr>2052-11.8.2.10953</vt:lpwstr>
  </property>
  <property fmtid="{D5CDD505-2E9C-101B-9397-08002B2CF9AE}" pid="16" name="ICV">
    <vt:lpwstr>3522D99CE9F6435584753A362526DE73_13</vt:lpwstr>
  </property>
</Properties>
</file>