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Calibri" w:hAnsi="Calibri" w:eastAsia="宋体" w:cs="Times New Roman"/>
          <w:b/>
          <w:bCs/>
          <w:sz w:val="36"/>
          <w:szCs w:val="36"/>
          <w:lang w:eastAsia="zh-CN"/>
        </w:rPr>
      </w:pPr>
    </w:p>
    <w:p>
      <w:pPr>
        <w:jc w:val="center"/>
        <w:rPr>
          <w:rFonts w:hint="eastAsia" w:ascii="Calibri" w:hAnsi="Calibri" w:eastAsia="宋体" w:cs="Times New Roman"/>
          <w:b/>
          <w:bCs/>
          <w:sz w:val="36"/>
          <w:szCs w:val="36"/>
          <w:lang w:eastAsia="zh-CN"/>
        </w:rPr>
      </w:pPr>
    </w:p>
    <w:p>
      <w:pPr>
        <w:jc w:val="center"/>
        <w:rPr>
          <w:rFonts w:hint="eastAsia" w:ascii="Calibri" w:hAnsi="Calibri" w:eastAsia="宋体" w:cs="Times New Roman"/>
          <w:b/>
          <w:bCs/>
          <w:sz w:val="36"/>
          <w:szCs w:val="36"/>
          <w:lang w:eastAsia="zh-CN"/>
        </w:rPr>
      </w:pPr>
    </w:p>
    <w:p>
      <w:pPr>
        <w:jc w:val="center"/>
        <w:rPr>
          <w:rFonts w:hint="eastAsia" w:ascii="Calibri" w:hAnsi="Calibri" w:eastAsia="宋体" w:cs="Times New Roman"/>
          <w:b/>
          <w:bCs/>
          <w:sz w:val="36"/>
          <w:szCs w:val="36"/>
          <w:lang w:eastAsia="zh-CN"/>
        </w:rPr>
      </w:pPr>
    </w:p>
    <w:p>
      <w:pPr>
        <w:jc w:val="center"/>
        <w:rPr>
          <w:rFonts w:hint="eastAsia" w:ascii="Calibri" w:hAnsi="Calibri" w:eastAsia="宋体" w:cs="Times New Roman"/>
          <w:b/>
          <w:bCs/>
          <w:sz w:val="36"/>
          <w:szCs w:val="36"/>
          <w:lang w:eastAsia="zh-CN"/>
        </w:rPr>
      </w:pPr>
      <w:r>
        <w:rPr>
          <w:rFonts w:hint="eastAsia" w:ascii="Calibri" w:hAnsi="Calibri" w:eastAsia="宋体" w:cs="Times New Roman"/>
          <w:b/>
          <w:bCs/>
          <w:sz w:val="36"/>
          <w:szCs w:val="36"/>
          <w:lang w:eastAsia="zh-CN"/>
        </w:rPr>
        <w:t>《专利代理机构能力无感评价规范》</w:t>
      </w:r>
    </w:p>
    <w:p>
      <w:pPr>
        <w:jc w:val="center"/>
        <w:rPr>
          <w:rFonts w:hint="eastAsia" w:ascii="Calibri" w:hAnsi="Calibri" w:eastAsia="宋体" w:cs="Times New Roman"/>
          <w:b/>
          <w:bCs/>
          <w:sz w:val="36"/>
          <w:szCs w:val="36"/>
        </w:rPr>
      </w:pPr>
      <w:r>
        <w:rPr>
          <w:rFonts w:hint="eastAsia" w:ascii="Calibri" w:hAnsi="Calibri" w:eastAsia="宋体" w:cs="Times New Roman"/>
          <w:b/>
          <w:bCs/>
          <w:sz w:val="36"/>
          <w:szCs w:val="36"/>
        </w:rPr>
        <w:t>团体标准编制说明</w:t>
      </w:r>
    </w:p>
    <w:p>
      <w:pPr>
        <w:jc w:val="center"/>
        <w:rPr>
          <w:rFonts w:hint="eastAsia" w:ascii="Calibri" w:hAnsi="Calibri" w:eastAsia="宋体" w:cs="Times New Roman"/>
          <w:b/>
          <w:bCs/>
          <w:sz w:val="36"/>
          <w:szCs w:val="36"/>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征求意见稿</w:t>
      </w:r>
      <w:r>
        <w:rPr>
          <w:rFonts w:hint="eastAsia" w:ascii="仿宋_GB2312" w:hAnsi="仿宋_GB2312" w:eastAsia="仿宋_GB2312" w:cs="仿宋_GB2312"/>
          <w:sz w:val="28"/>
          <w:szCs w:val="28"/>
        </w:rPr>
        <w:t>）</w:t>
      </w: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jc w:val="center"/>
        <w:rPr>
          <w:rFonts w:hint="eastAsia" w:ascii="仿宋" w:hAnsi="仿宋" w:eastAsia="仿宋" w:cs="sans-serif"/>
          <w:b/>
          <w:bCs/>
          <w:kern w:val="0"/>
          <w:sz w:val="32"/>
          <w:szCs w:val="32"/>
          <w:shd w:val="clear" w:color="auto" w:fill="FFFFFF"/>
          <w:lang w:val="en-US" w:eastAsia="zh-CN" w:bidi="ar"/>
        </w:rPr>
      </w:pPr>
      <w:r>
        <w:rPr>
          <w:rFonts w:hint="eastAsia" w:ascii="仿宋" w:hAnsi="仿宋" w:eastAsia="仿宋" w:cs="sans-serif"/>
          <w:b/>
          <w:bCs/>
          <w:kern w:val="0"/>
          <w:sz w:val="32"/>
          <w:szCs w:val="32"/>
          <w:shd w:val="clear" w:color="auto" w:fill="FFFFFF"/>
          <w:lang w:val="en-US" w:eastAsia="zh-CN" w:bidi="ar"/>
        </w:rPr>
        <w:t>浙江省专利代理人协会</w:t>
      </w:r>
    </w:p>
    <w:p>
      <w:pPr>
        <w:widowControl w:val="0"/>
        <w:spacing w:after="120" w:line="400" w:lineRule="exact"/>
        <w:jc w:val="center"/>
        <w:rPr>
          <w:rFonts w:hint="eastAsia" w:ascii="仿宋" w:hAnsi="仿宋" w:eastAsia="仿宋" w:cs="sans-serif"/>
          <w:b/>
          <w:bCs/>
          <w:kern w:val="0"/>
          <w:sz w:val="32"/>
          <w:szCs w:val="32"/>
          <w:shd w:val="clear" w:color="auto" w:fill="FFFFFF"/>
          <w:lang w:val="en-US" w:eastAsia="zh-CN" w:bidi="ar"/>
        </w:rPr>
      </w:pPr>
      <w:r>
        <w:rPr>
          <w:rFonts w:hint="eastAsia" w:ascii="仿宋" w:hAnsi="仿宋" w:eastAsia="仿宋" w:cs="sans-serif"/>
          <w:b/>
          <w:bCs/>
          <w:kern w:val="0"/>
          <w:sz w:val="32"/>
          <w:szCs w:val="32"/>
          <w:shd w:val="clear" w:color="auto" w:fill="FFFFFF"/>
          <w:lang w:val="en-US" w:eastAsia="zh-CN" w:bidi="ar"/>
        </w:rPr>
        <w:t>2026年9月</w:t>
      </w:r>
    </w:p>
    <w:p/>
    <w:sdt>
      <w:sdtPr>
        <w:rPr>
          <w:rFonts w:hint="eastAsia" w:ascii="仿宋" w:hAnsi="仿宋" w:eastAsia="仿宋" w:cs="仿宋"/>
          <w:b w:val="0"/>
          <w:bCs w:val="0"/>
          <w:kern w:val="2"/>
          <w:sz w:val="32"/>
          <w:szCs w:val="32"/>
          <w:lang w:val="en-US" w:eastAsia="zh-CN" w:bidi="ar-SA"/>
        </w:rPr>
        <w:id w:val="191410714"/>
        <w15:color w:val="DBDBDB"/>
        <w:docPartObj>
          <w:docPartGallery w:val="Table of Contents"/>
          <w:docPartUnique/>
        </w:docPartObj>
      </w:sdtPr>
      <w:sdtEndPr>
        <w:rPr>
          <w:rFonts w:hint="eastAsia" w:ascii="仿宋" w:hAnsi="仿宋" w:eastAsia="仿宋" w:cs="sans-serif"/>
          <w:b w:val="0"/>
          <w:bCs w:val="0"/>
          <w:kern w:val="0"/>
          <w:sz w:val="21"/>
          <w:szCs w:val="32"/>
          <w:shd w:val="clear" w:color="auto" w:fill="FFFFFF"/>
          <w:lang w:val="en-US" w:eastAsia="zh-CN" w:bidi="ar"/>
        </w:rPr>
      </w:sdtEndPr>
      <w:sdtContent>
        <w:p>
          <w:pPr>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目</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录</w:t>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TOC \o "1-1" \h \u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 HYPERLINK \l _Toc1236882549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bCs/>
              <w:kern w:val="0"/>
              <w:sz w:val="28"/>
              <w:szCs w:val="28"/>
              <w:shd w:val="clear" w:color="auto" w:fill="FFFFFF"/>
              <w:lang w:val="en-US" w:eastAsia="zh-CN" w:bidi="ar"/>
            </w:rPr>
            <w:t>一、标准制定项目背景</w:t>
          </w:r>
          <w:r>
            <w:rPr>
              <w:rFonts w:hint="eastAsia" w:ascii="Calibri" w:hAnsi="Calibri" w:eastAsia="仿宋" w:cs="Calibri"/>
              <w:sz w:val="28"/>
              <w:szCs w:val="28"/>
              <w:lang w:val="en-US" w:eastAsia="zh-CN"/>
            </w:rPr>
            <w:tab/>
          </w:r>
          <w:r>
            <w:rPr>
              <w:rFonts w:hint="default" w:ascii="Calibri" w:hAnsi="Calibri" w:eastAsia="仿宋" w:cs="Calibri"/>
              <w:sz w:val="28"/>
              <w:szCs w:val="28"/>
              <w:lang w:val="en-US" w:eastAsia="zh-CN"/>
            </w:rPr>
            <w:t>1</w:t>
          </w:r>
          <w:r>
            <w:rPr>
              <w:rFonts w:hint="eastAsia" w:ascii="仿宋" w:hAnsi="仿宋" w:eastAsia="仿宋" w:cs="仿宋"/>
              <w:kern w:val="0"/>
              <w:sz w:val="28"/>
              <w:szCs w:val="28"/>
              <w:shd w:val="clear" w:color="auto" w:fill="FFFFFF"/>
              <w:lang w:val="en-US" w:eastAsia="zh-CN" w:bidi="ar"/>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 HYPERLINK \l _Toc566792212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bCs/>
              <w:kern w:val="0"/>
              <w:sz w:val="28"/>
              <w:szCs w:val="28"/>
              <w:shd w:val="clear" w:color="auto" w:fill="FFFFFF"/>
              <w:lang w:val="en-US" w:eastAsia="zh-CN" w:bidi="ar"/>
            </w:rPr>
            <w:t>二、标准制定工作概况</w:t>
          </w:r>
          <w:r>
            <w:rPr>
              <w:rFonts w:hint="eastAsia" w:ascii="Calibri" w:hAnsi="Calibri" w:eastAsia="仿宋" w:cs="Calibri"/>
              <w:sz w:val="28"/>
              <w:szCs w:val="28"/>
              <w:lang w:val="en-US" w:eastAsia="zh-CN"/>
            </w:rPr>
            <w:tab/>
          </w: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PAGEREF _Toc566792212 \h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2</w:t>
          </w:r>
          <w:r>
            <w:rPr>
              <w:rFonts w:hint="eastAsia" w:ascii="Calibri" w:hAnsi="Calibri" w:eastAsia="仿宋" w:cs="Calibri"/>
              <w:sz w:val="28"/>
              <w:szCs w:val="28"/>
              <w:lang w:val="en-US" w:eastAsia="zh-CN"/>
            </w:rPr>
            <w:fldChar w:fldCharType="end"/>
          </w:r>
          <w:r>
            <w:rPr>
              <w:rFonts w:hint="eastAsia" w:ascii="仿宋" w:hAnsi="仿宋" w:eastAsia="仿宋" w:cs="仿宋"/>
              <w:kern w:val="0"/>
              <w:sz w:val="28"/>
              <w:szCs w:val="28"/>
              <w:shd w:val="clear" w:color="auto" w:fill="FFFFFF"/>
              <w:lang w:val="en-US" w:eastAsia="zh-CN" w:bidi="ar"/>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 HYPERLINK \l _Toc1990151132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bCs/>
              <w:kern w:val="0"/>
              <w:sz w:val="28"/>
              <w:szCs w:val="28"/>
              <w:shd w:val="clear" w:color="auto" w:fill="FFFFFF"/>
              <w:lang w:val="en-US" w:eastAsia="zh-CN" w:bidi="ar"/>
            </w:rPr>
            <w:t>三、标准编制的原则和依据</w:t>
          </w:r>
          <w:r>
            <w:rPr>
              <w:rFonts w:hint="eastAsia" w:ascii="Calibri" w:hAnsi="Calibri" w:eastAsia="仿宋" w:cs="Calibri"/>
              <w:sz w:val="28"/>
              <w:szCs w:val="28"/>
              <w:lang w:val="en-US" w:eastAsia="zh-CN"/>
            </w:rPr>
            <w:tab/>
          </w: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PAGEREF _Toc1990151132 \h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3</w:t>
          </w:r>
          <w:r>
            <w:rPr>
              <w:rFonts w:hint="eastAsia" w:ascii="Calibri" w:hAnsi="Calibri" w:eastAsia="仿宋" w:cs="Calibri"/>
              <w:sz w:val="28"/>
              <w:szCs w:val="28"/>
              <w:lang w:val="en-US" w:eastAsia="zh-CN"/>
            </w:rPr>
            <w:fldChar w:fldCharType="end"/>
          </w:r>
          <w:r>
            <w:rPr>
              <w:rFonts w:hint="eastAsia" w:ascii="仿宋" w:hAnsi="仿宋" w:eastAsia="仿宋" w:cs="仿宋"/>
              <w:kern w:val="0"/>
              <w:sz w:val="28"/>
              <w:szCs w:val="28"/>
              <w:shd w:val="clear" w:color="auto" w:fill="FFFFFF"/>
              <w:lang w:val="en-US" w:eastAsia="zh-CN" w:bidi="ar"/>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 HYPERLINK \l _Toc1561779191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bCs/>
              <w:kern w:val="0"/>
              <w:sz w:val="28"/>
              <w:szCs w:val="28"/>
              <w:shd w:val="clear" w:color="auto" w:fill="FFFFFF"/>
              <w:lang w:val="en-US" w:eastAsia="zh-CN" w:bidi="ar"/>
            </w:rPr>
            <w:t>四、标准的主要内容、技术论证与效果</w:t>
          </w:r>
          <w:r>
            <w:rPr>
              <w:rFonts w:hint="eastAsia" w:ascii="Calibri" w:hAnsi="Calibri" w:eastAsia="仿宋" w:cs="Calibri"/>
              <w:sz w:val="28"/>
              <w:szCs w:val="28"/>
              <w:lang w:val="en-US" w:eastAsia="zh-CN"/>
            </w:rPr>
            <w:tab/>
          </w: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PAGEREF _Toc1561779191 \h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4</w:t>
          </w:r>
          <w:r>
            <w:rPr>
              <w:rFonts w:hint="eastAsia" w:ascii="Calibri" w:hAnsi="Calibri" w:eastAsia="仿宋" w:cs="Calibri"/>
              <w:sz w:val="28"/>
              <w:szCs w:val="28"/>
              <w:lang w:val="en-US" w:eastAsia="zh-CN"/>
            </w:rPr>
            <w:fldChar w:fldCharType="end"/>
          </w:r>
          <w:r>
            <w:rPr>
              <w:rFonts w:hint="eastAsia" w:ascii="仿宋" w:hAnsi="仿宋" w:eastAsia="仿宋" w:cs="仿宋"/>
              <w:kern w:val="0"/>
              <w:sz w:val="28"/>
              <w:szCs w:val="28"/>
              <w:shd w:val="clear" w:color="auto" w:fill="FFFFFF"/>
              <w:lang w:val="en-US" w:eastAsia="zh-CN" w:bidi="ar"/>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 HYPERLINK \l _Toc387010152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bCs/>
              <w:kern w:val="0"/>
              <w:sz w:val="28"/>
              <w:szCs w:val="28"/>
              <w:shd w:val="clear" w:color="auto" w:fill="FFFFFF"/>
              <w:lang w:val="en-US" w:eastAsia="zh-CN" w:bidi="ar"/>
            </w:rPr>
            <w:t>五、采用国际标准的程序及水平的简要说明</w:t>
          </w:r>
          <w:r>
            <w:rPr>
              <w:rFonts w:hint="eastAsia" w:ascii="Calibri" w:hAnsi="Calibri" w:eastAsia="仿宋" w:cs="Calibri"/>
              <w:sz w:val="28"/>
              <w:szCs w:val="28"/>
              <w:lang w:val="en-US" w:eastAsia="zh-CN"/>
            </w:rPr>
            <w:tab/>
          </w: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PAGEREF _Toc387010152 \h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5</w:t>
          </w:r>
          <w:r>
            <w:rPr>
              <w:rFonts w:hint="eastAsia" w:ascii="Calibri" w:hAnsi="Calibri" w:eastAsia="仿宋" w:cs="Calibri"/>
              <w:sz w:val="28"/>
              <w:szCs w:val="28"/>
              <w:lang w:val="en-US" w:eastAsia="zh-CN"/>
            </w:rPr>
            <w:fldChar w:fldCharType="end"/>
          </w:r>
          <w:r>
            <w:rPr>
              <w:rFonts w:hint="eastAsia" w:ascii="仿宋" w:hAnsi="仿宋" w:eastAsia="仿宋" w:cs="仿宋"/>
              <w:kern w:val="0"/>
              <w:sz w:val="28"/>
              <w:szCs w:val="28"/>
              <w:shd w:val="clear" w:color="auto" w:fill="FFFFFF"/>
              <w:lang w:val="en-US" w:eastAsia="zh-CN" w:bidi="ar"/>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 HYPERLINK \l _Toc1537930570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bCs/>
              <w:kern w:val="0"/>
              <w:sz w:val="28"/>
              <w:szCs w:val="28"/>
              <w:shd w:val="clear" w:color="auto" w:fill="FFFFFF"/>
              <w:lang w:val="en-US" w:eastAsia="zh-CN" w:bidi="ar"/>
            </w:rPr>
            <w:t>六、与有关的现行法律、法规和国家、行业标准的关系</w:t>
          </w:r>
          <w:r>
            <w:rPr>
              <w:rFonts w:hint="eastAsia" w:ascii="Calibri" w:hAnsi="Calibri" w:eastAsia="仿宋" w:cs="Calibri"/>
              <w:sz w:val="28"/>
              <w:szCs w:val="28"/>
              <w:lang w:val="en-US" w:eastAsia="zh-CN"/>
            </w:rPr>
            <w:tab/>
          </w: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PAGEREF _Toc1537930570 \h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7</w:t>
          </w:r>
          <w:r>
            <w:rPr>
              <w:rFonts w:hint="eastAsia" w:ascii="Calibri" w:hAnsi="Calibri" w:eastAsia="仿宋" w:cs="Calibri"/>
              <w:sz w:val="28"/>
              <w:szCs w:val="28"/>
              <w:lang w:val="en-US" w:eastAsia="zh-CN"/>
            </w:rPr>
            <w:fldChar w:fldCharType="end"/>
          </w:r>
          <w:r>
            <w:rPr>
              <w:rFonts w:hint="eastAsia" w:ascii="仿宋" w:hAnsi="仿宋" w:eastAsia="仿宋" w:cs="仿宋"/>
              <w:kern w:val="0"/>
              <w:sz w:val="28"/>
              <w:szCs w:val="28"/>
              <w:shd w:val="clear" w:color="auto" w:fill="FFFFFF"/>
              <w:lang w:val="en-US" w:eastAsia="zh-CN" w:bidi="ar"/>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 HYPERLINK \l _Toc595580593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bCs/>
              <w:kern w:val="0"/>
              <w:sz w:val="28"/>
              <w:szCs w:val="28"/>
              <w:shd w:val="clear" w:color="auto" w:fill="FFFFFF"/>
              <w:lang w:val="en-US" w:eastAsia="zh-CN" w:bidi="ar"/>
            </w:rPr>
            <w:t>七、标准实施建议</w:t>
          </w:r>
          <w:r>
            <w:rPr>
              <w:rFonts w:hint="eastAsia" w:ascii="Calibri" w:hAnsi="Calibri" w:eastAsia="仿宋" w:cs="Calibri"/>
              <w:sz w:val="28"/>
              <w:szCs w:val="28"/>
              <w:lang w:val="en-US" w:eastAsia="zh-CN"/>
            </w:rPr>
            <w:tab/>
          </w: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PAGEREF _Toc595580593 \h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7</w:t>
          </w:r>
          <w:r>
            <w:rPr>
              <w:rFonts w:hint="eastAsia" w:ascii="Calibri" w:hAnsi="Calibri" w:eastAsia="仿宋" w:cs="Calibri"/>
              <w:sz w:val="28"/>
              <w:szCs w:val="28"/>
              <w:lang w:val="en-US" w:eastAsia="zh-CN"/>
            </w:rPr>
            <w:fldChar w:fldCharType="end"/>
          </w:r>
          <w:r>
            <w:rPr>
              <w:rFonts w:hint="eastAsia" w:ascii="仿宋" w:hAnsi="仿宋" w:eastAsia="仿宋" w:cs="仿宋"/>
              <w:kern w:val="0"/>
              <w:sz w:val="28"/>
              <w:szCs w:val="28"/>
              <w:shd w:val="clear" w:color="auto" w:fill="FFFFFF"/>
              <w:lang w:val="en-US" w:eastAsia="zh-CN" w:bidi="ar"/>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kern w:val="0"/>
              <w:sz w:val="28"/>
              <w:szCs w:val="28"/>
              <w:shd w:val="clear" w:color="auto" w:fill="FFFFFF"/>
              <w:lang w:val="en-US" w:eastAsia="zh-CN" w:bidi="ar"/>
            </w:rPr>
            <w:fldChar w:fldCharType="begin"/>
          </w:r>
          <w:r>
            <w:rPr>
              <w:rFonts w:hint="eastAsia" w:ascii="仿宋" w:hAnsi="仿宋" w:eastAsia="仿宋" w:cs="仿宋"/>
              <w:kern w:val="0"/>
              <w:sz w:val="28"/>
              <w:szCs w:val="28"/>
              <w:shd w:val="clear" w:color="auto" w:fill="FFFFFF"/>
              <w:lang w:val="en-US" w:eastAsia="zh-CN" w:bidi="ar"/>
            </w:rPr>
            <w:instrText xml:space="preserve"> HYPERLINK \l _Toc794632046 </w:instrText>
          </w:r>
          <w:r>
            <w:rPr>
              <w:rFonts w:hint="eastAsia" w:ascii="仿宋" w:hAnsi="仿宋" w:eastAsia="仿宋" w:cs="仿宋"/>
              <w:kern w:val="0"/>
              <w:sz w:val="28"/>
              <w:szCs w:val="28"/>
              <w:shd w:val="clear" w:color="auto" w:fill="FFFFFF"/>
              <w:lang w:val="en-US" w:eastAsia="zh-CN" w:bidi="ar"/>
            </w:rPr>
            <w:fldChar w:fldCharType="separate"/>
          </w:r>
          <w:r>
            <w:rPr>
              <w:rFonts w:hint="eastAsia" w:ascii="仿宋" w:hAnsi="仿宋" w:eastAsia="仿宋" w:cs="仿宋"/>
              <w:bCs/>
              <w:kern w:val="0"/>
              <w:sz w:val="28"/>
              <w:szCs w:val="28"/>
              <w:shd w:val="clear" w:color="auto" w:fill="FFFFFF"/>
              <w:lang w:val="en-US" w:eastAsia="zh-CN" w:bidi="ar"/>
            </w:rPr>
            <w:t>八、标准编制过程中重大分歧意见的处理和依据</w:t>
          </w:r>
          <w:r>
            <w:rPr>
              <w:rFonts w:hint="eastAsia" w:ascii="Calibri" w:hAnsi="Calibri" w:eastAsia="仿宋" w:cs="Calibri"/>
              <w:sz w:val="28"/>
              <w:szCs w:val="28"/>
              <w:lang w:val="en-US" w:eastAsia="zh-CN"/>
            </w:rPr>
            <w:tab/>
          </w: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PAGEREF _Toc794632046 \h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7</w:t>
          </w:r>
          <w:r>
            <w:rPr>
              <w:rFonts w:hint="eastAsia" w:ascii="Calibri" w:hAnsi="Calibri" w:eastAsia="仿宋" w:cs="Calibri"/>
              <w:sz w:val="28"/>
              <w:szCs w:val="28"/>
              <w:lang w:val="en-US" w:eastAsia="zh-CN"/>
            </w:rPr>
            <w:fldChar w:fldCharType="end"/>
          </w:r>
          <w:r>
            <w:rPr>
              <w:rFonts w:hint="eastAsia" w:ascii="仿宋" w:hAnsi="仿宋" w:eastAsia="仿宋" w:cs="仿宋"/>
              <w:kern w:val="0"/>
              <w:sz w:val="28"/>
              <w:szCs w:val="28"/>
              <w:shd w:val="clear" w:color="auto" w:fill="FFFFFF"/>
              <w:lang w:val="en-US" w:eastAsia="zh-CN" w:bidi="ar"/>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Calibri" w:hAnsi="Calibri" w:eastAsia="仿宋" w:cs="Calibri"/>
              <w:sz w:val="28"/>
              <w:szCs w:val="28"/>
              <w:lang w:val="en-US" w:eastAsia="zh-CN"/>
            </w:rPr>
          </w:pP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HYPERLINK \l _Toc1511059248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九、其他应予说明的事项</w:t>
          </w:r>
          <w:r>
            <w:rPr>
              <w:rFonts w:hint="eastAsia" w:ascii="Calibri" w:hAnsi="Calibri" w:eastAsia="仿宋" w:cs="Calibri"/>
              <w:sz w:val="28"/>
              <w:szCs w:val="28"/>
              <w:lang w:val="en-US" w:eastAsia="zh-CN"/>
            </w:rPr>
            <w:tab/>
          </w:r>
          <w:r>
            <w:rPr>
              <w:rFonts w:hint="eastAsia" w:ascii="Calibri" w:hAnsi="Calibri" w:eastAsia="仿宋" w:cs="Calibri"/>
              <w:sz w:val="28"/>
              <w:szCs w:val="28"/>
              <w:lang w:val="en-US" w:eastAsia="zh-CN"/>
            </w:rPr>
            <w:fldChar w:fldCharType="begin"/>
          </w:r>
          <w:r>
            <w:rPr>
              <w:rFonts w:hint="eastAsia" w:ascii="Calibri" w:hAnsi="Calibri" w:eastAsia="仿宋" w:cs="Calibri"/>
              <w:sz w:val="28"/>
              <w:szCs w:val="28"/>
              <w:lang w:val="en-US" w:eastAsia="zh-CN"/>
            </w:rPr>
            <w:instrText xml:space="preserve"> PAGEREF _Toc1511059248 \h </w:instrText>
          </w:r>
          <w:r>
            <w:rPr>
              <w:rFonts w:hint="eastAsia" w:ascii="Calibri" w:hAnsi="Calibri" w:eastAsia="仿宋" w:cs="Calibri"/>
              <w:sz w:val="28"/>
              <w:szCs w:val="28"/>
              <w:lang w:val="en-US" w:eastAsia="zh-CN"/>
            </w:rPr>
            <w:fldChar w:fldCharType="separate"/>
          </w:r>
          <w:r>
            <w:rPr>
              <w:rFonts w:hint="eastAsia" w:ascii="Calibri" w:hAnsi="Calibri" w:eastAsia="仿宋" w:cs="Calibri"/>
              <w:sz w:val="28"/>
              <w:szCs w:val="28"/>
              <w:lang w:val="en-US" w:eastAsia="zh-CN"/>
            </w:rPr>
            <w:t>7</w:t>
          </w:r>
          <w:r>
            <w:rPr>
              <w:rFonts w:hint="eastAsia" w:ascii="Calibri" w:hAnsi="Calibri" w:eastAsia="仿宋" w:cs="Calibri"/>
              <w:sz w:val="28"/>
              <w:szCs w:val="28"/>
              <w:lang w:val="en-US" w:eastAsia="zh-CN"/>
            </w:rPr>
            <w:fldChar w:fldCharType="end"/>
          </w:r>
          <w:r>
            <w:rPr>
              <w:rFonts w:hint="eastAsia" w:ascii="Calibri" w:hAnsi="Calibri" w:eastAsia="仿宋" w:cs="Calibri"/>
              <w:sz w:val="28"/>
              <w:szCs w:val="28"/>
              <w:lang w:val="en-US" w:eastAsia="zh-CN"/>
            </w:rPr>
            <w:fldChar w:fldCharType="end"/>
          </w:r>
        </w:p>
        <w:p>
          <w:pPr>
            <w:rPr>
              <w:rFonts w:hint="eastAsia" w:ascii="仿宋" w:hAnsi="仿宋" w:eastAsia="仿宋" w:cs="sans-serif"/>
              <w:kern w:val="0"/>
              <w:sz w:val="21"/>
              <w:szCs w:val="32"/>
              <w:shd w:val="clear" w:color="auto" w:fill="FFFFFF"/>
              <w:lang w:val="en-US" w:eastAsia="zh-CN" w:bidi="ar"/>
            </w:rPr>
          </w:pPr>
          <w:r>
            <w:rPr>
              <w:rFonts w:hint="eastAsia" w:ascii="仿宋" w:hAnsi="仿宋" w:eastAsia="仿宋" w:cs="仿宋"/>
              <w:kern w:val="0"/>
              <w:sz w:val="28"/>
              <w:szCs w:val="28"/>
              <w:shd w:val="clear" w:color="auto" w:fill="FFFFFF"/>
              <w:lang w:val="en-US" w:eastAsia="zh-CN" w:bidi="ar"/>
            </w:rPr>
            <w:fldChar w:fldCharType="end"/>
          </w:r>
        </w:p>
      </w:sdtContent>
    </w:sdt>
    <w:p>
      <w:pPr>
        <w:rPr>
          <w:rFonts w:hint="eastAsia" w:ascii="仿宋" w:hAnsi="仿宋" w:eastAsia="仿宋" w:cs="sans-serif"/>
          <w:kern w:val="0"/>
          <w:sz w:val="21"/>
          <w:szCs w:val="32"/>
          <w:shd w:val="clear" w:color="auto" w:fill="FFFFFF"/>
          <w:lang w:val="en-US" w:eastAsia="zh-CN" w:bidi="ar"/>
        </w:rPr>
      </w:pP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sectPr>
          <w:pgSz w:w="11906" w:h="16838"/>
          <w:pgMar w:top="1440" w:right="1800" w:bottom="1440" w:left="1800" w:header="851" w:footer="992" w:gutter="0"/>
          <w:cols w:space="425" w:num="1"/>
          <w:docGrid w:type="lines" w:linePitch="312" w:charSpace="0"/>
        </w:sectPr>
      </w:pPr>
      <w:bookmarkStart w:id="9" w:name="_GoBack"/>
      <w:bookmarkEnd w:id="9"/>
      <w:bookmarkStart w:id="0" w:name="_Toc1236882549"/>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r>
        <w:rPr>
          <w:rFonts w:hint="eastAsia" w:ascii="仿宋" w:hAnsi="仿宋" w:eastAsia="仿宋" w:cs="sans-serif"/>
          <w:b/>
          <w:bCs/>
          <w:kern w:val="0"/>
          <w:sz w:val="32"/>
          <w:szCs w:val="32"/>
          <w:shd w:val="clear" w:color="auto" w:fill="FFFFFF"/>
          <w:lang w:val="en-US" w:eastAsia="zh-CN" w:bidi="ar"/>
        </w:rPr>
        <w:t>一、标准制定项目背景</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为深入推进浙江省引领型知识产权强省建设，响应《浙江省人民政府关于推进服务业扩能提质的实施意见》提出的服务业“6+4”细分赛道体系建设，需要系统提升省内知识产权服务水平，引领行业高质量转型升级。通过建立科学公允的代理机构评价体系，能够有效引导专利代理机构提升服务能力，规范专利代理行业发展秩序，切实保障各类创新主体的合法知识产权权益，提高行业整体服务质量与社会公信力，构建优质、规范、高效的知识产权服务生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现阶段，浙江省专利代理服务业产业规模持续稳步扩张，创新主体的专利代理服务需求已从传统的数量代办，转变为高质量、专业化、可信赖的精准服务需求。当前行业服务质量整体参差不齐、优劣分化明显。创新主体在选择专利代理服务时，无权威依据判别代理机构的服务水平与专业能力，尤其在细分技术领域精准筛选适配代理机构存在较大困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因此形成专利代理机构能力无感评价团体标准,有助于填补国内知识产权服务业客观科学评价的标准空白,同时积累专利代理机构服务能力数据库,形成专利代理机构无感自动化评价的综合成果。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本标准由浙江省知识产权保护中心作为发布单位，由浙江省专利代理人协会归口管理。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本标准由浙江省知识产权保护中心作为标准编制工作组组长单位负责完成。</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sans-serif"/>
          <w:b w:val="0"/>
          <w:kern w:val="0"/>
          <w:sz w:val="32"/>
          <w:szCs w:val="32"/>
          <w:highlight w:val="none"/>
          <w:shd w:val="clear" w:color="auto" w:fill="FFFFFF"/>
          <w:lang w:val="en-US" w:eastAsia="zh-CN" w:bidi="ar"/>
        </w:rPr>
      </w:pPr>
      <w:bookmarkStart w:id="1" w:name="_Toc566792212"/>
      <w:r>
        <w:rPr>
          <w:rFonts w:hint="eastAsia" w:ascii="仿宋" w:hAnsi="仿宋" w:eastAsia="仿宋" w:cs="sans-serif"/>
          <w:b w:val="0"/>
          <w:kern w:val="0"/>
          <w:sz w:val="32"/>
          <w:szCs w:val="32"/>
          <w:highlight w:val="none"/>
          <w:shd w:val="clear" w:color="auto" w:fill="FFFFFF"/>
          <w:lang w:val="en-US" w:eastAsia="zh-CN" w:bidi="ar"/>
        </w:rPr>
        <w:t>参与编制和起草单位有：浙江省知识产权保护中心、浙江省专利代理人协会、杭州市知识产权保护中心、宁波市知识产权保护中心、杭州华进联浙知识产权代理有限公司、浙江中桓凯通专利代理有限公司、浙江大学、国网浙江省电力有限公司。</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r>
        <w:rPr>
          <w:rFonts w:hint="eastAsia" w:ascii="仿宋" w:hAnsi="仿宋" w:eastAsia="仿宋" w:cs="sans-serif"/>
          <w:b/>
          <w:bCs/>
          <w:kern w:val="0"/>
          <w:sz w:val="32"/>
          <w:szCs w:val="32"/>
          <w:shd w:val="clear" w:color="auto" w:fill="FFFFFF"/>
          <w:lang w:val="en-US" w:eastAsia="zh-CN" w:bidi="ar"/>
        </w:rPr>
        <w:t>二、标准制定工作概况</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kern w:val="0"/>
          <w:sz w:val="32"/>
          <w:szCs w:val="32"/>
          <w:shd w:val="clear" w:color="auto" w:fill="FFFFFF"/>
          <w:lang w:val="en-US" w:eastAsia="zh-CN" w:bidi="ar"/>
        </w:rPr>
      </w:pPr>
      <w:r>
        <w:rPr>
          <w:rFonts w:hint="eastAsia" w:ascii="仿宋" w:hAnsi="仿宋" w:eastAsia="仿宋" w:cs="sans-serif"/>
          <w:b w:val="0"/>
          <w:kern w:val="0"/>
          <w:sz w:val="32"/>
          <w:szCs w:val="32"/>
          <w:shd w:val="clear" w:color="auto" w:fill="FFFFFF"/>
          <w:lang w:val="en-US" w:eastAsia="zh-CN" w:bidi="ar"/>
        </w:rPr>
        <w:t>目前国内外知识产权服务市场竞争激烈,北京、上海、江苏等地已形成较为成熟的知识产权服务业集群。在我省知识产权强省建设的目标下,亟需通过科学分类分级评价,推动知识产权服务业的规范化、标准化，促进行业高质量发展，吸引更多优质服务机构入驻,形成集聚效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（一）标准起草阶段（2026年6月—7月）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提交团体标准立项申请，成立标准起草小组，组织立项申报材料编制、行业需求调研、国内外相关标准对标梳理；完成标准立项申请书、立项论证报告、国内外标准现状分析、知识产权无涉专利声明等全套立项资料；提交团体标准立项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（二）项目立项阶段（2026 年8月中旬）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组织立项评审会，邀请知识产权管理、相关产业、标准化领域专家开展项目必要性、可行性评估。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（三）标准完成阶段（2026年8月底—9月上旬）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起草工作组开展行业深度调研，优化评价指标，完善标准文本草案、编制说明、指标测算说明，组织工作组内部多轮研讨修改，形成完整标准征求意见材料。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（四）征求意见阶段（2026年9月中旬—10 月下旬）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通过全国团体标准信息平台、行业协会、知识产权管理部门、重点产业协会等多渠道公开征求意见；起草工作组逐条梳理反馈意见，形成《征求意见汇总处理表》，明确意见采纳/不予采纳理由，修改完善形成标准送审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（五）技术送审阶段（2026年11月）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组织标准技术审查，起草工作组根据专家审查意见完成修改，形成标准报批稿及全套报批材料。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（六）标准发布阶段（2026年12月）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完成报批材料复核、标准编号申领、发布公告编制；在全国团体标准信息平台、协会官方渠道同步公示、正式发布标准文本；同步配套标准解读材料，面向行业开展宣贯筹备工作。</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2" w:name="_Toc1990151132"/>
      <w:r>
        <w:rPr>
          <w:rFonts w:hint="eastAsia" w:ascii="仿宋" w:hAnsi="仿宋" w:eastAsia="仿宋" w:cs="sans-serif"/>
          <w:b/>
          <w:bCs/>
          <w:kern w:val="0"/>
          <w:sz w:val="32"/>
          <w:szCs w:val="32"/>
          <w:shd w:val="clear" w:color="auto" w:fill="FFFFFF"/>
          <w:lang w:val="en-US" w:eastAsia="zh-CN" w:bidi="ar"/>
        </w:rPr>
        <w:t>三、标准编制的原则和依据</w:t>
      </w:r>
      <w:bookmarkEnd w:id="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在国家标准和地方标准的基础上，参考国际相关标准内容，在编写时按照GB/T 1.1-2020《标准化工作导则 第1部分：标准的结构和起草规则》的规定和要求。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本标准编制遵循以下原则：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1.客观性原则。评价过程以客观事实为依据，不受各方面的干扰和影响，确保评价结果合理公平。评价结果客观反映一个评价周期内代理机构的服务能力和信用水平。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2.适用性原则。评价信息和数据易采集、可量化，确保评价结果与代理机构的服务能力和信用水平相适应。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3.安全性原则。评价工作采用相应的防范措施，防止评价对象的隐私信息、信用信息丢失或泄露，确保信息安全和评价对象合法权益。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4.无感评价原则。评价过程不增加代理机构的申报负担，依托国家知识产权局等公开数据源进行自动化数据采集与评价，实现“无感”评价。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5.动态更新原则。每个评价周期自动开展一次，并根据行业法律法规变化和实际需要进行动态调整。</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3" w:name="_Toc1561779191"/>
      <w:r>
        <w:rPr>
          <w:rFonts w:hint="eastAsia" w:ascii="仿宋" w:hAnsi="仿宋" w:eastAsia="仿宋" w:cs="sans-serif"/>
          <w:b/>
          <w:bCs/>
          <w:kern w:val="0"/>
          <w:sz w:val="32"/>
          <w:szCs w:val="32"/>
          <w:shd w:val="clear" w:color="auto" w:fill="FFFFFF"/>
          <w:lang w:val="en-US" w:eastAsia="zh-CN" w:bidi="ar"/>
        </w:rPr>
        <w:t>四、标准的主要内容、技术论证与效果</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（一）范围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规定了对专利代理机构能力评价的基本要求、评价原则、评价对象、评价组织、评价程序和标志使用。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适用于专利代理机构的能力无感评价工作。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注：标准中专利代理机构指在浙江省内设立并于浙江省知识产权主管部门备案的专利代理机构，不在浙江省内设立的专利代理机构可参照执行。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（二）规范性引用文件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GB/T 34833-2017  专利代理机构服务规范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（三）术语和定义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本文件对一些术语进行了定义，包括专利代理、专利代理机构、专利代理师、执业年限、无感评价。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（四）评价原则、评价组织、评价程序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本文件对专利代理机构能力无感评价的评价原则、评价组织和评价程序提出了相关规范要求。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（五）标志使用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ascii="仿宋" w:hAnsi="仿宋" w:eastAsia="仿宋" w:cs="sans-serif"/>
          <w:b w:val="0"/>
          <w:bCs w:val="0"/>
          <w:kern w:val="0"/>
          <w:sz w:val="32"/>
          <w:szCs w:val="32"/>
          <w:shd w:val="clear" w:color="auto" w:fill="FFFFFF"/>
          <w:lang w:val="en-US" w:eastAsia="zh-CN" w:bidi="ar"/>
        </w:rPr>
        <w:t>本文件对专利代理机构能力无感评价的标志使用提出了相关规范要求。</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4" w:name="_Toc387010152"/>
      <w:r>
        <w:rPr>
          <w:rFonts w:hint="eastAsia" w:ascii="仿宋" w:hAnsi="仿宋" w:eastAsia="仿宋" w:cs="sans-serif"/>
          <w:b/>
          <w:bCs/>
          <w:kern w:val="0"/>
          <w:sz w:val="32"/>
          <w:szCs w:val="32"/>
          <w:shd w:val="clear" w:color="auto" w:fill="FFFFFF"/>
          <w:lang w:val="en-US" w:eastAsia="zh-CN" w:bidi="ar"/>
        </w:rPr>
        <w:t>五、采用国际标准的程序及水平的简要说明</w:t>
      </w:r>
      <w:bookmarkEnd w:id="4"/>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1. 国内外同类标准与评价体系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国际方面，美国、德国分别形成市场化、跨境出海两类典型评估导向，两类国外评估文件均为行业参考指南，无强制监管属性，侧重市场端择优使用。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国内方面，国内依托法律法规、地方行业团体标准形成多层次评价体系。国家标准主要以GB/T 34833-2017《专利代理机构服务规范》为主，是国内唯一专门针对专利代理机构全流程运营服务的推荐性国标。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 xml:space="preserve"> T/BCIPSA0001-2025《广州开发区知识产权服务机构分级分类评价规范》，评价对象聚焦代理机构，兼顾机构运营、党建、固定资产等非经营指标，专业能力以授权率、驳回率等业务结果为核心导向，需机构提交书面证明材料完成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浙江省已发布T/ZPAA 001-2021《专利代理信用评价规范》、T/ZS 0332-2022《专利代理受评机构技术能力评价规范》，将执业资格设为准入门槛、失信行为作为一票否决类核心考察项，依托公开专利数据实现机构技术能力客观量化评价，奠定省内信用监管数字化基础。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本标准研制工作不涉及专利及其他知识产权权属、许可处置相关问题。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本标准与其他强制性国家标准、国际标准、行业标准、相关地方标准协调一致；标准本身各章节内容之间协调统一，不存在矛盾、重复、交叉等问题。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2. 本标准的创新性与先进性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一是首次提出“无感评价”理念。 本标准依托国家知识产权局等公开数据源，实现评价数据的自动化采集与处理，评价对象无需主动申报任何材料，实现真正意义上的“无感”评价，大幅降低了评价成本和人为干预。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二是构建多维度的能力评价指标体系。本标准从服务能力、执业能力、专利获权能力三个维度构建评价指标体系，涵盖海外申请、申请量、技术领域聚类度、权利要求布局、说明书撰写、授权率、撤回率等多个关键指标，全面反映代理机构的综合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三是实现评价的客观化与自动化。所有评价指标均基于公开可查的政府发布数据，评价过程客观、可追溯、可验证，避免了传统评价方式中主观评分带来的偏差。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四是评价周期动态可调。本标准规定每评价周期自动开展一次评价，同时可根据行业法律法规变化和实际需要进行评价指标的权重动态调整，确保评价体系的时效性和适应性。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3. 技术水平定位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在充分吸收国内现有标准经验的基础上，结合浙江省专利代理行业发展实际，首次构建了针对专利代理机构的无感式能力评价体系，在评价理念、指标体系、数据采集方式、评价自动化程度等方面均处于国内领先水平，填补了国内在该领域的标准空白。</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5" w:name="_Toc1537930570"/>
      <w:r>
        <w:rPr>
          <w:rFonts w:hint="eastAsia" w:ascii="仿宋" w:hAnsi="仿宋" w:eastAsia="仿宋" w:cs="sans-serif"/>
          <w:b/>
          <w:bCs/>
          <w:kern w:val="0"/>
          <w:sz w:val="32"/>
          <w:szCs w:val="32"/>
          <w:shd w:val="clear" w:color="auto" w:fill="FFFFFF"/>
          <w:lang w:val="en-US" w:eastAsia="zh-CN" w:bidi="ar"/>
        </w:rPr>
        <w:t>六、与有关的现行法律、法规和国家、行业标准的关系</w:t>
      </w:r>
      <w:bookmarkEnd w:id="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本标准内容符合现行法律、法规。</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6" w:name="_Toc595580593"/>
      <w:r>
        <w:rPr>
          <w:rFonts w:hint="eastAsia" w:ascii="仿宋" w:hAnsi="仿宋" w:eastAsia="仿宋" w:cs="sans-serif"/>
          <w:b/>
          <w:bCs/>
          <w:kern w:val="0"/>
          <w:sz w:val="32"/>
          <w:szCs w:val="32"/>
          <w:shd w:val="clear" w:color="auto" w:fill="FFFFFF"/>
          <w:lang w:val="en-US" w:eastAsia="zh-CN" w:bidi="ar"/>
        </w:rPr>
        <w:t>七、标准实施建议</w:t>
      </w:r>
      <w:bookmarkEnd w:id="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贯彻标准的要求措施建议包括以下几点：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1. 组织标准宣讲，加强标准培训。面向全省专利代理机构、专利代理师、创新主体开展标准宣贯活动，增强标准化意识和能力，确保各方准确理解和掌握标准内容。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2. 强化标准执行。 对标准的执行情况进行监督和检查，发现问题及时纠正，确保标准的贯彻实施。建立标准实施反馈机制，及时收集和解决实施过程中的问题。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3. 积极推进标准创新。使标准始终保持与时俱进的状态，根据行业发展和技术进步适时修订完善，满足企业发展需要。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4. 加强交流合作。加强与国内外同行的交流合作，学习先进的标准化管理经验和方法，不断提升自身的标准化水平。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5. 定期评估实施效果。定期评估标准的实施效果，针对评估结果进行改进和完善，使标准更加符合实际应用情况。</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7" w:name="_Toc794632046"/>
      <w:r>
        <w:rPr>
          <w:rFonts w:hint="eastAsia" w:ascii="仿宋" w:hAnsi="仿宋" w:eastAsia="仿宋" w:cs="sans-serif"/>
          <w:b/>
          <w:bCs/>
          <w:kern w:val="0"/>
          <w:sz w:val="32"/>
          <w:szCs w:val="32"/>
          <w:shd w:val="clear" w:color="auto" w:fill="FFFFFF"/>
          <w:lang w:val="en-US" w:eastAsia="zh-CN" w:bidi="ar"/>
        </w:rPr>
        <w:t>八、标准编制过程中重大分歧意见的处理和依据</w:t>
      </w:r>
      <w:bookmarkEnd w:id="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目前尚未出现不能解决的重大分歧意见。</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8" w:name="_Toc1511059248"/>
      <w:r>
        <w:rPr>
          <w:rFonts w:hint="eastAsia" w:ascii="仿宋" w:hAnsi="仿宋" w:eastAsia="仿宋" w:cs="sans-serif"/>
          <w:b/>
          <w:bCs/>
          <w:kern w:val="0"/>
          <w:sz w:val="32"/>
          <w:szCs w:val="32"/>
          <w:shd w:val="clear" w:color="auto" w:fill="FFFFFF"/>
          <w:lang w:val="en-US" w:eastAsia="zh-CN" w:bidi="ar"/>
        </w:rPr>
        <w:t>九、其他应予说明的事项</w:t>
      </w:r>
      <w:bookmarkEnd w:id="8"/>
    </w:p>
    <w:p>
      <w:pPr>
        <w:widowControl w:val="0"/>
        <w:spacing w:after="120" w:line="400" w:lineRule="exact"/>
        <w:ind w:firstLine="640" w:firstLineChars="200"/>
        <w:jc w:val="both"/>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无</w:t>
      </w:r>
    </w:p>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sans-serif">
    <w:altName w:val="华文仿宋"/>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EF5A12"/>
    <w:rsid w:val="0621639E"/>
    <w:rsid w:val="08E92DF5"/>
    <w:rsid w:val="0BA674A8"/>
    <w:rsid w:val="0DBD041D"/>
    <w:rsid w:val="0FBDB5CE"/>
    <w:rsid w:val="1B937A0D"/>
    <w:rsid w:val="1FAD9C6F"/>
    <w:rsid w:val="230F0D9E"/>
    <w:rsid w:val="27F974D2"/>
    <w:rsid w:val="2BEF5A12"/>
    <w:rsid w:val="2E144BAF"/>
    <w:rsid w:val="31DFC122"/>
    <w:rsid w:val="33FDFAD2"/>
    <w:rsid w:val="37CF8B57"/>
    <w:rsid w:val="39570503"/>
    <w:rsid w:val="3D33BEE6"/>
    <w:rsid w:val="3EDE5C8C"/>
    <w:rsid w:val="3FF1EC92"/>
    <w:rsid w:val="3FF9E27C"/>
    <w:rsid w:val="3FFFB389"/>
    <w:rsid w:val="4EFF3506"/>
    <w:rsid w:val="4FDB2552"/>
    <w:rsid w:val="57C53473"/>
    <w:rsid w:val="5CC710FC"/>
    <w:rsid w:val="5DEFB3D0"/>
    <w:rsid w:val="5FDF9973"/>
    <w:rsid w:val="63FF4F2B"/>
    <w:rsid w:val="64131EB4"/>
    <w:rsid w:val="6566FD9B"/>
    <w:rsid w:val="6768BD5B"/>
    <w:rsid w:val="67BB47C4"/>
    <w:rsid w:val="6AF72701"/>
    <w:rsid w:val="6BB7BB6D"/>
    <w:rsid w:val="6FF5F128"/>
    <w:rsid w:val="72FFB45F"/>
    <w:rsid w:val="738F5EBC"/>
    <w:rsid w:val="777CC394"/>
    <w:rsid w:val="77DE02C7"/>
    <w:rsid w:val="7B4F02F0"/>
    <w:rsid w:val="7BBD23D6"/>
    <w:rsid w:val="7BBFB487"/>
    <w:rsid w:val="7BCFEA91"/>
    <w:rsid w:val="7BD649C0"/>
    <w:rsid w:val="7CA68CBC"/>
    <w:rsid w:val="7CFEDA25"/>
    <w:rsid w:val="7D091805"/>
    <w:rsid w:val="7D9BF024"/>
    <w:rsid w:val="7DBE68A1"/>
    <w:rsid w:val="7DFB5886"/>
    <w:rsid w:val="7F1F5396"/>
    <w:rsid w:val="7F6BF631"/>
    <w:rsid w:val="7F6F8519"/>
    <w:rsid w:val="7FDC3949"/>
    <w:rsid w:val="7FED75F2"/>
    <w:rsid w:val="7FFE42A4"/>
    <w:rsid w:val="7FFE4B5A"/>
    <w:rsid w:val="7FFF26DF"/>
    <w:rsid w:val="7FFF3397"/>
    <w:rsid w:val="7FFF9FE0"/>
    <w:rsid w:val="7FFFFE3C"/>
    <w:rsid w:val="8E5A039B"/>
    <w:rsid w:val="9BFF2EF7"/>
    <w:rsid w:val="ADC6E04E"/>
    <w:rsid w:val="ADEF1CE9"/>
    <w:rsid w:val="AFFD843C"/>
    <w:rsid w:val="B3EF4FC8"/>
    <w:rsid w:val="B9F45E86"/>
    <w:rsid w:val="BB9FDB01"/>
    <w:rsid w:val="BCF601AD"/>
    <w:rsid w:val="BFBF91DC"/>
    <w:rsid w:val="BFF3040C"/>
    <w:rsid w:val="CEBFC55E"/>
    <w:rsid w:val="D1CE41F4"/>
    <w:rsid w:val="D9FFE452"/>
    <w:rsid w:val="DB763117"/>
    <w:rsid w:val="DBD23933"/>
    <w:rsid w:val="DE35AAB3"/>
    <w:rsid w:val="DEEF8D1C"/>
    <w:rsid w:val="DF278718"/>
    <w:rsid w:val="E19BAB2E"/>
    <w:rsid w:val="E7972F31"/>
    <w:rsid w:val="E7D73B02"/>
    <w:rsid w:val="E95E9047"/>
    <w:rsid w:val="EEFFBE7E"/>
    <w:rsid w:val="F573F5C1"/>
    <w:rsid w:val="F7DDDE6B"/>
    <w:rsid w:val="F7EFB9FF"/>
    <w:rsid w:val="F7F735A3"/>
    <w:rsid w:val="F7FF2584"/>
    <w:rsid w:val="F88F027C"/>
    <w:rsid w:val="FABF044C"/>
    <w:rsid w:val="FAEFCB64"/>
    <w:rsid w:val="FB5FBF05"/>
    <w:rsid w:val="FBF3028C"/>
    <w:rsid w:val="FBFFAE94"/>
    <w:rsid w:val="FDEA808B"/>
    <w:rsid w:val="FEDCB479"/>
    <w:rsid w:val="FF6707E2"/>
    <w:rsid w:val="FFBEF4C2"/>
    <w:rsid w:val="FFCFE97B"/>
    <w:rsid w:val="FFEA1369"/>
    <w:rsid w:val="FFEF8F72"/>
    <w:rsid w:val="FFFB5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widowControl w:val="0"/>
      <w:ind w:firstLine="200" w:firstLineChars="200"/>
      <w:jc w:val="both"/>
    </w:pPr>
    <w:rPr>
      <w:rFonts w:eastAsia="宋体" w:cs="Times New Roman" w:asciiTheme="minorHAnsi" w:hAnsiTheme="minorHAnsi"/>
      <w:kern w:val="2"/>
      <w:sz w:val="21"/>
      <w:szCs w:val="24"/>
      <w:lang w:val="en-US" w:eastAsia="zh-CN" w:bidi="ar-SA"/>
    </w:rPr>
  </w:style>
  <w:style w:type="paragraph" w:styleId="4">
    <w:name w:val="Body Text"/>
    <w:basedOn w:val="1"/>
    <w:unhideWhenUsed/>
    <w:qFormat/>
    <w:uiPriority w:val="99"/>
    <w:pPr>
      <w:widowControl w:val="0"/>
      <w:jc w:val="both"/>
    </w:pPr>
    <w:rPr>
      <w:rFonts w:ascii="Calibri" w:hAnsi="Calibri" w:eastAsia="宋体" w:cs="Times New Roman"/>
      <w:kern w:val="2"/>
      <w:sz w:val="32"/>
      <w:szCs w:val="32"/>
      <w:lang w:val="en-US" w:eastAsia="zh-CN" w:bidi="ar-SA"/>
    </w:rPr>
  </w:style>
  <w:style w:type="paragraph" w:styleId="5">
    <w:name w:val="Body Text Indent"/>
    <w:basedOn w:val="1"/>
    <w:next w:val="3"/>
    <w:unhideWhenUsed/>
    <w:qFormat/>
    <w:uiPriority w:val="99"/>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next w:val="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9">
    <w:name w:val="Body Text First Indent"/>
    <w:basedOn w:val="4"/>
    <w:next w:val="1"/>
    <w:qFormat/>
    <w:uiPriority w:val="0"/>
    <w:pPr>
      <w:widowControl w:val="0"/>
      <w:ind w:firstLine="420" w:firstLineChars="100"/>
      <w:jc w:val="both"/>
    </w:pPr>
    <w:rPr>
      <w:rFonts w:ascii="Calibri" w:hAnsi="Calibri" w:eastAsia="宋体" w:cs="Times New Roman"/>
      <w:kern w:val="2"/>
      <w:sz w:val="32"/>
      <w:szCs w:val="32"/>
      <w:lang w:val="en-US" w:eastAsia="zh-CN" w:bidi="ar-SA"/>
    </w:rPr>
  </w:style>
  <w:style w:type="paragraph" w:styleId="10">
    <w:name w:val="Body Text First Indent 2"/>
    <w:basedOn w:val="5"/>
    <w:next w:val="9"/>
    <w:unhideWhenUsed/>
    <w:qFormat/>
    <w:uiPriority w:val="99"/>
    <w:pPr>
      <w:widowControl w:val="0"/>
      <w:spacing w:after="120"/>
      <w:ind w:left="420" w:leftChars="200" w:firstLine="420" w:firstLineChars="200"/>
      <w:jc w:val="both"/>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3582</Words>
  <Characters>3694</Characters>
  <Lines>0</Lines>
  <Paragraphs>0</Paragraphs>
  <TotalTime>5</TotalTime>
  <ScaleCrop>false</ScaleCrop>
  <LinksUpToDate>false</LinksUpToDate>
  <CharactersWithSpaces>3752</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2026-09-04T09:43:00Z</dcterms:created>
  <dc:creator>小蒙同学</dc:creator>
  <cp:lastModifiedBy>unis</cp:lastModifiedBy>
  <cp:lastPrinted>2026-09-08T08:13:00Z</cp:lastPrinted>
  <dcterms:modified xsi:type="dcterms:W3CDTF">2026-09-08T14:11:50Z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839609F27AD247F88A5978DA59AFE8A3_13</vt:lpwstr>
  </property>
  <property fmtid="{D5CDD505-2E9C-101B-9397-08002B2CF9AE}" pid="4" name="KSOTemplateDocerSaveRecord">
    <vt:lpwstr>eyJoZGlkIjoiZTk4MjE0NWFmNDU5ZjFmMmE0ODZkNzhiYWQ3ZGIwNDEiLCJ1c2VySWQiOiI3Njk1MjkyMTAifQ==</vt:lpwstr>
  </property>
</Properties>
</file>